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29987E64" w:rsidR="00EF44BC" w:rsidRPr="00C84F38" w:rsidRDefault="00EF44BC" w:rsidP="00EF44BC">
      <w:pPr>
        <w:pStyle w:val="Header"/>
        <w:tabs>
          <w:tab w:val="right" w:pos="9639"/>
        </w:tabs>
        <w:rPr>
          <w:bCs/>
          <w:noProof w:val="0"/>
          <w:sz w:val="24"/>
          <w:szCs w:val="24"/>
        </w:rPr>
      </w:pPr>
      <w:bookmarkStart w:id="0" w:name="_GoBack"/>
      <w:bookmarkEnd w:id="0"/>
      <w:r w:rsidRPr="00E862AA">
        <w:rPr>
          <w:bCs/>
          <w:noProof w:val="0"/>
          <w:sz w:val="28"/>
          <w:szCs w:val="24"/>
        </w:rPr>
        <w:t>3GPP TSG RAN WG1 Meeting #94</w:t>
      </w:r>
      <w:r w:rsidR="00394B37">
        <w:rPr>
          <w:bCs/>
          <w:noProof w:val="0"/>
          <w:sz w:val="28"/>
          <w:szCs w:val="24"/>
        </w:rPr>
        <w:t>bis</w:t>
      </w:r>
      <w:r>
        <w:rPr>
          <w:bCs/>
          <w:noProof w:val="0"/>
          <w:sz w:val="24"/>
          <w:szCs w:val="24"/>
        </w:rPr>
        <w:tab/>
      </w:r>
      <w:r w:rsidR="007D1F44" w:rsidRPr="0029518B">
        <w:rPr>
          <w:bCs/>
          <w:noProof w:val="0"/>
          <w:sz w:val="28"/>
          <w:szCs w:val="28"/>
        </w:rPr>
        <w:t>R1-</w:t>
      </w:r>
      <w:r w:rsidR="00394B37">
        <w:rPr>
          <w:bCs/>
          <w:noProof w:val="0"/>
          <w:sz w:val="28"/>
          <w:szCs w:val="28"/>
        </w:rPr>
        <w:t>18</w:t>
      </w:r>
      <w:r w:rsidR="007424EF">
        <w:rPr>
          <w:bCs/>
          <w:noProof w:val="0"/>
          <w:sz w:val="28"/>
          <w:szCs w:val="28"/>
        </w:rPr>
        <w:t>10678</w:t>
      </w:r>
    </w:p>
    <w:p w14:paraId="76C3BA30" w14:textId="787B09E8" w:rsidR="00EF44BC" w:rsidRDefault="00394B37" w:rsidP="00EF44BC">
      <w:pPr>
        <w:pStyle w:val="Header"/>
        <w:rPr>
          <w:rFonts w:cs="Arial"/>
          <w:bCs/>
          <w:sz w:val="28"/>
        </w:rPr>
      </w:pPr>
      <w:r>
        <w:rPr>
          <w:rFonts w:cs="Arial"/>
          <w:bCs/>
          <w:sz w:val="28"/>
        </w:rPr>
        <w:t>Chengdu, China</w:t>
      </w:r>
      <w:r w:rsidR="00EF44BC">
        <w:rPr>
          <w:rFonts w:cs="Arial"/>
          <w:bCs/>
          <w:sz w:val="28"/>
        </w:rPr>
        <w:t>,</w:t>
      </w:r>
      <w:r w:rsidR="00EF44BC" w:rsidRPr="00A13D9B">
        <w:rPr>
          <w:rFonts w:cs="Arial"/>
          <w:bCs/>
          <w:sz w:val="28"/>
        </w:rPr>
        <w:t xml:space="preserve"> </w:t>
      </w:r>
      <w:r>
        <w:rPr>
          <w:rFonts w:cs="Arial"/>
          <w:bCs/>
          <w:sz w:val="28"/>
        </w:rPr>
        <w:t>8</w:t>
      </w:r>
      <w:r w:rsidR="00EF44BC" w:rsidRPr="00C6317B">
        <w:rPr>
          <w:rFonts w:cs="Arial"/>
          <w:bCs/>
          <w:sz w:val="28"/>
          <w:vertAlign w:val="superscript"/>
        </w:rPr>
        <w:t>th</w:t>
      </w:r>
      <w:r>
        <w:rPr>
          <w:rFonts w:cs="Arial"/>
          <w:bCs/>
          <w:sz w:val="28"/>
        </w:rPr>
        <w:t xml:space="preserve"> – 12</w:t>
      </w:r>
      <w:r w:rsidR="00EF44BC" w:rsidRPr="00044D18">
        <w:rPr>
          <w:rFonts w:cs="Arial"/>
          <w:bCs/>
          <w:sz w:val="28"/>
          <w:vertAlign w:val="superscript"/>
        </w:rPr>
        <w:t>th</w:t>
      </w:r>
      <w:r>
        <w:rPr>
          <w:rFonts w:cs="Arial"/>
          <w:bCs/>
          <w:sz w:val="28"/>
        </w:rPr>
        <w:t xml:space="preserve"> October</w:t>
      </w:r>
      <w:r w:rsidR="00EF44BC">
        <w:rPr>
          <w:rFonts w:cs="Arial"/>
          <w:bCs/>
          <w:sz w:val="28"/>
        </w:rPr>
        <w:t xml:space="preserve"> 2018</w:t>
      </w:r>
    </w:p>
    <w:p w14:paraId="763EE237" w14:textId="77777777" w:rsidR="00EF44BC" w:rsidRPr="00A200C1" w:rsidRDefault="00EF44BC" w:rsidP="00EF44BC">
      <w:pPr>
        <w:pStyle w:val="Header"/>
        <w:rPr>
          <w:rFonts w:cs="Arial"/>
          <w:b w:val="0"/>
          <w:bCs/>
          <w:sz w:val="28"/>
        </w:rPr>
      </w:pPr>
    </w:p>
    <w:p w14:paraId="08AC4AD5" w14:textId="046F7AD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Pr>
          <w:rFonts w:cs="Arial"/>
          <w:b/>
          <w:bCs/>
          <w:sz w:val="24"/>
        </w:rPr>
        <w:t>7.</w:t>
      </w:r>
      <w:r w:rsidR="0009556A">
        <w:rPr>
          <w:rFonts w:cs="Arial"/>
          <w:b/>
          <w:bCs/>
          <w:sz w:val="24"/>
        </w:rPr>
        <w:t>2</w:t>
      </w:r>
      <w:r w:rsidR="00EF1707">
        <w:rPr>
          <w:rFonts w:cs="Arial"/>
          <w:b/>
          <w:bCs/>
          <w:sz w:val="24"/>
        </w:rPr>
        <w:t>.</w:t>
      </w:r>
      <w:r w:rsidR="0009556A">
        <w:rPr>
          <w:rFonts w:cs="Arial"/>
          <w:b/>
          <w:bCs/>
          <w:sz w:val="24"/>
        </w:rPr>
        <w:t>3.3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1696B54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E69FB">
        <w:rPr>
          <w:rFonts w:ascii="Arial" w:hAnsi="Arial" w:cs="Arial"/>
          <w:b/>
          <w:bCs/>
          <w:sz w:val="24"/>
        </w:rPr>
        <w:t xml:space="preserve">IAB </w:t>
      </w:r>
      <w:r w:rsidR="00096A43">
        <w:rPr>
          <w:rFonts w:ascii="Arial" w:hAnsi="Arial" w:cs="Arial"/>
          <w:b/>
          <w:bCs/>
          <w:sz w:val="24"/>
        </w:rPr>
        <w:t>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7B20D7D" w14:textId="0AA702C1" w:rsidR="00B926CB" w:rsidRDefault="006C524F" w:rsidP="00CB3C8E">
      <w:pPr>
        <w:spacing w:after="120"/>
      </w:pPr>
      <w:r>
        <w:t xml:space="preserve">RAN1 made in </w:t>
      </w:r>
      <w:r w:rsidR="00EF44BC">
        <w:t>RAN1#93</w:t>
      </w:r>
      <w:r w:rsidR="00B926CB">
        <w:t xml:space="preserve"> </w:t>
      </w:r>
      <w:r>
        <w:t xml:space="preserve">meeting </w:t>
      </w:r>
      <w:r w:rsidR="00EF44BC">
        <w:t>following agreeme</w:t>
      </w:r>
      <w:r w:rsidR="00C66C26">
        <w:t>nt</w:t>
      </w:r>
      <w:r w:rsidR="00EF44BC">
        <w:t xml:space="preserve"> about the IAB timing</w:t>
      </w:r>
      <w:r>
        <w:t xml:space="preserve"> options </w:t>
      </w:r>
      <w:r>
        <w:fldChar w:fldCharType="begin"/>
      </w:r>
      <w:r>
        <w:instrText xml:space="preserve"> REF _Ref525649415 \r \h </w:instrText>
      </w:r>
      <w:r>
        <w:fldChar w:fldCharType="separate"/>
      </w:r>
      <w:r>
        <w:t>[2]</w:t>
      </w:r>
      <w:r>
        <w:fldChar w:fldCharType="end"/>
      </w:r>
      <w:r w:rsidR="00EF44BC">
        <w:t>:</w:t>
      </w:r>
    </w:p>
    <w:p w14:paraId="4C370F7F" w14:textId="7DB9EF88" w:rsidR="00FA629E" w:rsidRPr="006C524F" w:rsidRDefault="00FA629E" w:rsidP="00FA629E">
      <w:pPr>
        <w:pStyle w:val="ListParagraph"/>
        <w:numPr>
          <w:ilvl w:val="0"/>
          <w:numId w:val="40"/>
        </w:numPr>
        <w:rPr>
          <w:i/>
          <w:sz w:val="20"/>
          <w:lang w:val="en-GB" w:eastAsia="ko-KR"/>
        </w:rPr>
      </w:pPr>
      <w:r w:rsidRPr="006C524F">
        <w:rPr>
          <w:i/>
          <w:sz w:val="20"/>
          <w:lang w:val="en-GB" w:eastAsia="ko-KR"/>
        </w:rPr>
        <w:t>IAB supports TA-based synchronization between IAB nodes, including across multiple backhaul hops</w:t>
      </w:r>
    </w:p>
    <w:p w14:paraId="775A4FF4" w14:textId="418DF342" w:rsidR="00FA629E" w:rsidRPr="006C524F" w:rsidRDefault="00FA629E" w:rsidP="00FA629E">
      <w:pPr>
        <w:pStyle w:val="ListParagraph"/>
        <w:numPr>
          <w:ilvl w:val="1"/>
          <w:numId w:val="40"/>
        </w:numPr>
        <w:rPr>
          <w:i/>
          <w:sz w:val="20"/>
          <w:lang w:val="en-GB" w:eastAsia="ko-KR"/>
        </w:rPr>
      </w:pPr>
      <w:r w:rsidRPr="006C524F">
        <w:rPr>
          <w:i/>
          <w:sz w:val="20"/>
          <w:lang w:val="en-GB" w:eastAsia="ko-KR"/>
        </w:rPr>
        <w:t>Enhancements to existing mechanisms can be further studied</w:t>
      </w:r>
    </w:p>
    <w:p w14:paraId="5EBA3528" w14:textId="61273C53" w:rsidR="00FA629E" w:rsidRPr="006C524F" w:rsidRDefault="00FA629E" w:rsidP="00FA629E">
      <w:pPr>
        <w:pStyle w:val="ListParagraph"/>
        <w:numPr>
          <w:ilvl w:val="0"/>
          <w:numId w:val="40"/>
        </w:numPr>
        <w:rPr>
          <w:i/>
          <w:sz w:val="20"/>
          <w:lang w:val="en-GB" w:eastAsia="ko-KR"/>
        </w:rPr>
      </w:pPr>
      <w:r w:rsidRPr="006C524F">
        <w:rPr>
          <w:i/>
          <w:sz w:val="20"/>
          <w:lang w:val="en-GB" w:eastAsia="ko-KR"/>
        </w:rPr>
        <w:t>The following cases should be further studied:</w:t>
      </w:r>
    </w:p>
    <w:p w14:paraId="28962091" w14:textId="3942292C" w:rsidR="00FA629E" w:rsidRPr="006C524F" w:rsidRDefault="00FA629E" w:rsidP="00FA629E">
      <w:pPr>
        <w:pStyle w:val="ListParagraph"/>
        <w:numPr>
          <w:ilvl w:val="1"/>
          <w:numId w:val="40"/>
        </w:numPr>
        <w:rPr>
          <w:i/>
          <w:sz w:val="20"/>
          <w:lang w:val="en-GB" w:eastAsia="ko-KR"/>
        </w:rPr>
      </w:pPr>
      <w:r w:rsidRPr="006C524F">
        <w:rPr>
          <w:i/>
          <w:sz w:val="20"/>
          <w:lang w:val="en-GB" w:eastAsia="ko-KR"/>
        </w:rPr>
        <w:t>Case 1: DL transmission timing alignment across IAB nodes and donor nodes</w:t>
      </w:r>
    </w:p>
    <w:p w14:paraId="226C16C5" w14:textId="3A3261D7" w:rsidR="00FA629E" w:rsidRPr="006C524F" w:rsidRDefault="00FA629E" w:rsidP="00FA629E">
      <w:pPr>
        <w:pStyle w:val="ListParagraph"/>
        <w:numPr>
          <w:ilvl w:val="1"/>
          <w:numId w:val="40"/>
        </w:numPr>
        <w:rPr>
          <w:i/>
          <w:sz w:val="20"/>
          <w:lang w:val="en-GB" w:eastAsia="ko-KR"/>
        </w:rPr>
      </w:pPr>
      <w:r w:rsidRPr="006C524F">
        <w:rPr>
          <w:i/>
          <w:sz w:val="20"/>
          <w:lang w:val="en-GB" w:eastAsia="ko-KR"/>
        </w:rPr>
        <w:t>Case 2: DL and UL transmission timing is aligned within an IAB node</w:t>
      </w:r>
    </w:p>
    <w:p w14:paraId="27B250F8" w14:textId="39E03B50" w:rsidR="00FA629E" w:rsidRPr="006C524F" w:rsidRDefault="00FA629E" w:rsidP="00FA629E">
      <w:pPr>
        <w:pStyle w:val="ListParagraph"/>
        <w:numPr>
          <w:ilvl w:val="1"/>
          <w:numId w:val="40"/>
        </w:numPr>
        <w:rPr>
          <w:i/>
          <w:sz w:val="20"/>
          <w:lang w:val="en-GB" w:eastAsia="ko-KR"/>
        </w:rPr>
      </w:pPr>
      <w:r w:rsidRPr="006C524F">
        <w:rPr>
          <w:i/>
          <w:sz w:val="20"/>
          <w:lang w:val="en-GB" w:eastAsia="ko-KR"/>
        </w:rPr>
        <w:t>Case 3: DL and UL reception timing is aligned within an IAB node</w:t>
      </w:r>
    </w:p>
    <w:p w14:paraId="7ED905EB" w14:textId="6A504D78" w:rsidR="00FA629E" w:rsidRPr="006C524F" w:rsidRDefault="00FA629E" w:rsidP="00FA629E">
      <w:pPr>
        <w:pStyle w:val="ListParagraph"/>
        <w:numPr>
          <w:ilvl w:val="1"/>
          <w:numId w:val="40"/>
        </w:numPr>
        <w:rPr>
          <w:i/>
          <w:sz w:val="20"/>
          <w:lang w:val="en-GB" w:eastAsia="ko-KR"/>
        </w:rPr>
      </w:pPr>
      <w:r w:rsidRPr="006C524F">
        <w:rPr>
          <w:i/>
          <w:sz w:val="20"/>
          <w:lang w:val="en-GB" w:eastAsia="ko-KR"/>
        </w:rPr>
        <w:t>Case 4: within an IAB node, when transmitting using case 2 while when receiving using case 3</w:t>
      </w:r>
    </w:p>
    <w:p w14:paraId="66C501AE" w14:textId="25B8D388" w:rsidR="00FA629E" w:rsidRPr="006C524F" w:rsidRDefault="00FA629E" w:rsidP="00FA629E">
      <w:pPr>
        <w:pStyle w:val="ListParagraph"/>
        <w:numPr>
          <w:ilvl w:val="1"/>
          <w:numId w:val="40"/>
        </w:numPr>
        <w:rPr>
          <w:i/>
          <w:sz w:val="20"/>
          <w:lang w:val="en-GB" w:eastAsia="ko-KR"/>
        </w:rPr>
      </w:pPr>
      <w:r w:rsidRPr="006C524F">
        <w:rPr>
          <w:i/>
          <w:sz w:val="20"/>
          <w:lang w:val="en-GB" w:eastAsia="ko-KR"/>
        </w:rPr>
        <w:t>Case 5: Case 1 for access link timing and Case 4 for backhaul link timing within an IAB node in different time slots</w:t>
      </w:r>
    </w:p>
    <w:p w14:paraId="2EDE4D0C" w14:textId="3E97C134" w:rsidR="00FA629E" w:rsidRPr="006C524F" w:rsidRDefault="00FA629E" w:rsidP="00FA629E">
      <w:pPr>
        <w:pStyle w:val="ListParagraph"/>
        <w:numPr>
          <w:ilvl w:val="0"/>
          <w:numId w:val="40"/>
        </w:numPr>
        <w:rPr>
          <w:i/>
          <w:sz w:val="20"/>
          <w:lang w:val="en-GB" w:eastAsia="ko-KR"/>
        </w:rPr>
      </w:pPr>
      <w:r w:rsidRPr="006C524F">
        <w:rPr>
          <w:i/>
          <w:sz w:val="20"/>
          <w:lang w:val="en-GB" w:eastAsia="ko-KR"/>
        </w:rPr>
        <w:t>Further study the following levels of alignment between IAB nodes/donor nodes or within an IAB node:</w:t>
      </w:r>
    </w:p>
    <w:p w14:paraId="213EA139" w14:textId="5EDBB597" w:rsidR="00FA629E" w:rsidRPr="006C524F" w:rsidRDefault="00FA629E" w:rsidP="00FA629E">
      <w:pPr>
        <w:pStyle w:val="ListParagraph"/>
        <w:numPr>
          <w:ilvl w:val="1"/>
          <w:numId w:val="40"/>
        </w:numPr>
        <w:rPr>
          <w:i/>
          <w:sz w:val="20"/>
          <w:lang w:val="en-GB" w:eastAsia="ko-KR"/>
        </w:rPr>
      </w:pPr>
      <w:r w:rsidRPr="006C524F">
        <w:rPr>
          <w:i/>
          <w:sz w:val="20"/>
          <w:lang w:val="en-GB" w:eastAsia="ko-KR"/>
        </w:rPr>
        <w:t>Slot alignment</w:t>
      </w:r>
    </w:p>
    <w:p w14:paraId="7ABBD5B4" w14:textId="2DD2498F" w:rsidR="00FA629E" w:rsidRPr="006C524F" w:rsidRDefault="00FA629E" w:rsidP="00FA629E">
      <w:pPr>
        <w:pStyle w:val="ListParagraph"/>
        <w:numPr>
          <w:ilvl w:val="1"/>
          <w:numId w:val="40"/>
        </w:numPr>
        <w:rPr>
          <w:i/>
          <w:sz w:val="20"/>
          <w:lang w:val="en-GB" w:eastAsia="ko-KR"/>
        </w:rPr>
      </w:pPr>
      <w:r w:rsidRPr="006C524F">
        <w:rPr>
          <w:i/>
          <w:sz w:val="20"/>
          <w:lang w:val="en-GB" w:eastAsia="ko-KR"/>
        </w:rPr>
        <w:t>Symbol-level alignment</w:t>
      </w:r>
    </w:p>
    <w:p w14:paraId="13025DF8" w14:textId="775CB568" w:rsidR="00FA629E" w:rsidRPr="006C524F" w:rsidRDefault="00FA629E" w:rsidP="00FA629E">
      <w:pPr>
        <w:pStyle w:val="ListParagraph"/>
        <w:numPr>
          <w:ilvl w:val="1"/>
          <w:numId w:val="40"/>
        </w:numPr>
        <w:rPr>
          <w:i/>
          <w:sz w:val="20"/>
          <w:lang w:val="en-GB" w:eastAsia="ko-KR"/>
        </w:rPr>
      </w:pPr>
      <w:r w:rsidRPr="006C524F">
        <w:rPr>
          <w:i/>
          <w:sz w:val="20"/>
          <w:lang w:val="en-GB" w:eastAsia="ko-KR"/>
        </w:rPr>
        <w:t>No alignment</w:t>
      </w:r>
    </w:p>
    <w:p w14:paraId="21A4F6EA" w14:textId="19BEF613" w:rsidR="00B926CB" w:rsidRPr="006C524F" w:rsidRDefault="00FA629E" w:rsidP="00FA629E">
      <w:pPr>
        <w:pStyle w:val="ListParagraph"/>
        <w:numPr>
          <w:ilvl w:val="0"/>
          <w:numId w:val="40"/>
        </w:numPr>
        <w:rPr>
          <w:i/>
          <w:sz w:val="20"/>
          <w:lang w:val="en-GB" w:eastAsia="ko-KR"/>
        </w:rPr>
      </w:pPr>
      <w:r w:rsidRPr="006C524F">
        <w:rPr>
          <w:i/>
          <w:sz w:val="20"/>
          <w:lang w:val="en-GB" w:eastAsia="ko-KR"/>
        </w:rPr>
        <w:t>Further consider the impact of different cases on TDM/FDM/SDM multiplexing of access and backhaul links, cross-link interference, and impact on access UEs</w:t>
      </w:r>
    </w:p>
    <w:p w14:paraId="4DF2F697" w14:textId="707A39C9" w:rsidR="00FA629E" w:rsidRDefault="00FA629E" w:rsidP="00FA629E">
      <w:pPr>
        <w:rPr>
          <w:lang w:eastAsia="ko-KR"/>
        </w:rPr>
      </w:pPr>
    </w:p>
    <w:p w14:paraId="1C07BD12" w14:textId="06941DA3" w:rsidR="006C524F" w:rsidRDefault="006C524F" w:rsidP="00FA629E">
      <w:pPr>
        <w:rPr>
          <w:lang w:eastAsia="ko-KR"/>
        </w:rPr>
      </w:pPr>
      <w:r>
        <w:rPr>
          <w:lang w:eastAsia="ko-KR"/>
        </w:rPr>
        <w:t xml:space="preserve">RAN1#94 further discussed the topic and agreed following on potential cases for the IAB timing </w:t>
      </w:r>
      <w:r>
        <w:rPr>
          <w:lang w:eastAsia="ko-KR"/>
        </w:rPr>
        <w:fldChar w:fldCharType="begin"/>
      </w:r>
      <w:r>
        <w:rPr>
          <w:lang w:eastAsia="ko-KR"/>
        </w:rPr>
        <w:instrText xml:space="preserve"> REF _Ref525649429 \r \h </w:instrText>
      </w:r>
      <w:r>
        <w:rPr>
          <w:lang w:eastAsia="ko-KR"/>
        </w:rPr>
      </w:r>
      <w:r>
        <w:rPr>
          <w:lang w:eastAsia="ko-KR"/>
        </w:rPr>
        <w:fldChar w:fldCharType="separate"/>
      </w:r>
      <w:r>
        <w:rPr>
          <w:lang w:eastAsia="ko-KR"/>
        </w:rPr>
        <w:t>[3]</w:t>
      </w:r>
      <w:r>
        <w:rPr>
          <w:lang w:eastAsia="ko-KR"/>
        </w:rPr>
        <w:fldChar w:fldCharType="end"/>
      </w:r>
      <w:r>
        <w:rPr>
          <w:lang w:eastAsia="ko-KR"/>
        </w:rPr>
        <w:t>:</w:t>
      </w:r>
    </w:p>
    <w:p w14:paraId="7095969A" w14:textId="77777777" w:rsidR="006C524F" w:rsidRPr="006C524F" w:rsidRDefault="006C524F" w:rsidP="006C524F">
      <w:pPr>
        <w:numPr>
          <w:ilvl w:val="0"/>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 xml:space="preserve">At least Case #1 is supported for both access and backhaul link transmission timing. </w:t>
      </w:r>
    </w:p>
    <w:p w14:paraId="35BF9046" w14:textId="77777777" w:rsidR="006C524F" w:rsidRPr="006C524F" w:rsidRDefault="006C524F" w:rsidP="006C524F">
      <w:pPr>
        <w:numPr>
          <w:ilvl w:val="0"/>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Further study includes additionally the following two cases (in addition to other cases #2/3/4/5)</w:t>
      </w:r>
    </w:p>
    <w:p w14:paraId="110EB0DD" w14:textId="77777777" w:rsidR="006C524F" w:rsidRPr="006C524F" w:rsidRDefault="006C524F" w:rsidP="006C524F">
      <w:pPr>
        <w:numPr>
          <w:ilvl w:val="1"/>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Case #6 (Case#1 DL transmission timing + Case #2 UL transmission timing):</w:t>
      </w:r>
    </w:p>
    <w:p w14:paraId="7BA3C32E" w14:textId="77777777" w:rsidR="006C524F" w:rsidRPr="006C524F" w:rsidRDefault="006C524F" w:rsidP="006C524F">
      <w:pPr>
        <w:numPr>
          <w:ilvl w:val="2"/>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the DL transmission timing for all IAB nodes is aligned with the parent IAB node or donor DL timing (e.g. TA/2 adjustment as in Case #1)</w:t>
      </w:r>
    </w:p>
    <w:p w14:paraId="5483C50E" w14:textId="77777777" w:rsidR="006C524F" w:rsidRPr="006C524F" w:rsidRDefault="006C524F" w:rsidP="006C524F">
      <w:pPr>
        <w:numPr>
          <w:ilvl w:val="2"/>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the UL transmission timing of an IAB node can be aligned with the IAB node’s DL transmission timing</w:t>
      </w:r>
    </w:p>
    <w:p w14:paraId="5E2B81FA" w14:textId="77777777" w:rsidR="006C524F" w:rsidRPr="006C524F" w:rsidRDefault="006C524F" w:rsidP="006C524F">
      <w:pPr>
        <w:numPr>
          <w:ilvl w:val="1"/>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Case #7 (Case#1 DL transmission timing + Case #3 UL reception timing):</w:t>
      </w:r>
    </w:p>
    <w:p w14:paraId="46263022" w14:textId="77777777" w:rsidR="006C524F" w:rsidRPr="006C524F" w:rsidRDefault="006C524F" w:rsidP="006C524F">
      <w:pPr>
        <w:numPr>
          <w:ilvl w:val="2"/>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the DL transmission timing for all IAB nodes is aligned with the parent IAB node or donor DL timing (e.g. TA/2 adjustment as in Case #1)</w:t>
      </w:r>
    </w:p>
    <w:p w14:paraId="421159CC" w14:textId="77777777" w:rsidR="006C524F" w:rsidRPr="006C524F" w:rsidRDefault="006C524F" w:rsidP="006C524F">
      <w:pPr>
        <w:numPr>
          <w:ilvl w:val="2"/>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 xml:space="preserve">the UL reception timing of an IAB node can be aligned with the IAB node’s DL reception timing </w:t>
      </w:r>
    </w:p>
    <w:p w14:paraId="2EAED1F5" w14:textId="77777777" w:rsidR="006C524F" w:rsidRPr="006C524F" w:rsidRDefault="006C524F" w:rsidP="006C524F">
      <w:pPr>
        <w:numPr>
          <w:ilvl w:val="1"/>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FFS: TA required for IAB nodes to support these cases</w:t>
      </w:r>
    </w:p>
    <w:p w14:paraId="03B97E99" w14:textId="77777777" w:rsidR="006C524F" w:rsidRPr="006C524F" w:rsidRDefault="006C524F" w:rsidP="006C524F">
      <w:pPr>
        <w:numPr>
          <w:ilvl w:val="1"/>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For Case #6 and Case #7 further consider the potential impact of imperfect timing adjustment, overhead of required DL/UL switching gaps, and scheduling impact on access UEs and child IAB nodes</w:t>
      </w:r>
    </w:p>
    <w:p w14:paraId="7E3A57D8" w14:textId="77777777" w:rsidR="006C524F" w:rsidRPr="006C524F" w:rsidRDefault="006C524F" w:rsidP="006C524F">
      <w:pPr>
        <w:numPr>
          <w:ilvl w:val="1"/>
          <w:numId w:val="43"/>
        </w:numPr>
        <w:overflowPunct/>
        <w:autoSpaceDE/>
        <w:autoSpaceDN/>
        <w:adjustRightInd/>
        <w:spacing w:after="0" w:line="288" w:lineRule="auto"/>
        <w:jc w:val="both"/>
        <w:textAlignment w:val="auto"/>
        <w:rPr>
          <w:rFonts w:eastAsia="Malgun Gothic"/>
          <w:i/>
          <w:lang w:eastAsia="ko-KR"/>
        </w:rPr>
      </w:pPr>
      <w:r w:rsidRPr="006C524F">
        <w:rPr>
          <w:rFonts w:eastAsia="Malgun Gothic"/>
          <w:i/>
          <w:lang w:eastAsia="ko-KR"/>
        </w:rPr>
        <w:t>Study to include aspects (including feasibility) when the IAB node is connected to one or multiple parent nodes</w:t>
      </w:r>
    </w:p>
    <w:p w14:paraId="41F27109" w14:textId="77777777" w:rsidR="006C524F" w:rsidRDefault="006C524F" w:rsidP="00EE1F1A"/>
    <w:p w14:paraId="2EDADF91" w14:textId="54D6317F" w:rsidR="004C396E" w:rsidRPr="00CB3C8E" w:rsidRDefault="006C524F" w:rsidP="00EE1F1A">
      <w:r>
        <w:t xml:space="preserve">We elaborated the agreed timing cases in our earlier contribution </w:t>
      </w:r>
      <w:r w:rsidR="0095436C">
        <w:fldChar w:fldCharType="begin"/>
      </w:r>
      <w:r w:rsidR="0095436C">
        <w:instrText xml:space="preserve"> REF _Ref525649815 \r \h </w:instrText>
      </w:r>
      <w:r w:rsidR="0095436C">
        <w:fldChar w:fldCharType="separate"/>
      </w:r>
      <w:r w:rsidR="0095436C">
        <w:t>[4]</w:t>
      </w:r>
      <w:r w:rsidR="0095436C">
        <w:fldChar w:fldCharType="end"/>
      </w:r>
      <w:r w:rsidR="0095436C">
        <w:t xml:space="preserve"> </w:t>
      </w:r>
      <w:r>
        <w:t xml:space="preserve">and listed their impact on </w:t>
      </w:r>
      <w:r w:rsidR="0095436C">
        <w:t xml:space="preserve">IAB implementation and system behaviour. In </w:t>
      </w:r>
      <w:r w:rsidR="004C396E">
        <w:t xml:space="preserve">this paper we </w:t>
      </w:r>
      <w:r w:rsidR="0095436C">
        <w:t xml:space="preserve">discuss </w:t>
      </w:r>
      <w:r w:rsidR="001D321F">
        <w:t xml:space="preserve">some of the cases, especially those </w:t>
      </w:r>
      <w:r w:rsidR="0095436C">
        <w:t>added by RAN#94.</w:t>
      </w:r>
    </w:p>
    <w:p w14:paraId="10FD11CC" w14:textId="0A0E6622" w:rsidR="00062630" w:rsidRDefault="00062630" w:rsidP="00062630">
      <w:pPr>
        <w:pStyle w:val="Heading1"/>
      </w:pPr>
      <w:r>
        <w:rPr>
          <w:color w:val="000000"/>
        </w:rPr>
        <w:lastRenderedPageBreak/>
        <w:t>2</w:t>
      </w:r>
      <w:r w:rsidRPr="00A51522">
        <w:rPr>
          <w:color w:val="000000"/>
        </w:rPr>
        <w:tab/>
      </w:r>
      <w:r w:rsidR="005E7117">
        <w:t>Discussion</w:t>
      </w:r>
    </w:p>
    <w:p w14:paraId="378BDAF7" w14:textId="027C7FE8" w:rsidR="00EA2D7E" w:rsidRDefault="00EA2D7E" w:rsidP="00EA2D7E">
      <w:pPr>
        <w:pStyle w:val="Heading2"/>
        <w:rPr>
          <w:lang w:val="en-US"/>
        </w:rPr>
      </w:pPr>
      <w:r>
        <w:rPr>
          <w:lang w:val="en-US"/>
        </w:rPr>
        <w:t>2.1</w:t>
      </w:r>
      <w:r>
        <w:rPr>
          <w:lang w:val="en-US"/>
        </w:rPr>
        <w:tab/>
        <w:t>Case descriptions</w:t>
      </w:r>
    </w:p>
    <w:p w14:paraId="076538B4" w14:textId="637A0AD8" w:rsidR="009B429F" w:rsidRDefault="009B429F" w:rsidP="0029518B">
      <w:pPr>
        <w:spacing w:after="120"/>
        <w:jc w:val="both"/>
        <w:rPr>
          <w:rFonts w:eastAsia="MS Mincho"/>
          <w:lang w:eastAsia="ja-JP"/>
        </w:rPr>
      </w:pPr>
      <w:r w:rsidRPr="009B429F">
        <w:rPr>
          <w:rFonts w:eastAsia="MS Mincho"/>
          <w:u w:val="single"/>
          <w:lang w:eastAsia="ja-JP"/>
        </w:rPr>
        <w:t>Case 1</w:t>
      </w:r>
      <w:r>
        <w:rPr>
          <w:rFonts w:eastAsia="MS Mincho"/>
          <w:lang w:eastAsia="ja-JP"/>
        </w:rPr>
        <w:t>:</w:t>
      </w:r>
    </w:p>
    <w:p w14:paraId="268EC605" w14:textId="15AF7697" w:rsidR="0095436C" w:rsidRDefault="0095436C" w:rsidP="0029518B">
      <w:pPr>
        <w:spacing w:after="120"/>
        <w:jc w:val="both"/>
        <w:rPr>
          <w:rFonts w:eastAsia="MS Mincho"/>
          <w:lang w:eastAsia="ja-JP"/>
        </w:rPr>
      </w:pPr>
      <w:r>
        <w:rPr>
          <w:rFonts w:eastAsia="MS Mincho"/>
          <w:lang w:eastAsia="ja-JP"/>
        </w:rPr>
        <w:t xml:space="preserve">As already discussed in </w:t>
      </w:r>
      <w:r>
        <w:rPr>
          <w:rFonts w:eastAsia="MS Mincho"/>
          <w:lang w:eastAsia="ja-JP"/>
        </w:rPr>
        <w:fldChar w:fldCharType="begin"/>
      </w:r>
      <w:r>
        <w:rPr>
          <w:rFonts w:eastAsia="MS Mincho"/>
          <w:lang w:eastAsia="ja-JP"/>
        </w:rPr>
        <w:instrText xml:space="preserve"> REF _Ref525649815 \r \h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xml:space="preserve"> and agreed by RAN1, Case 1 will be the basic option for IAB timing. It results in operation identical to that of normal gNB in a synchronized network. Hence, the interference scenario will be </w:t>
      </w:r>
      <w:r w:rsidR="009B429F">
        <w:rPr>
          <w:rFonts w:eastAsia="MS Mincho"/>
          <w:lang w:eastAsia="ja-JP"/>
        </w:rPr>
        <w:t>same/</w:t>
      </w:r>
      <w:r>
        <w:rPr>
          <w:rFonts w:eastAsia="MS Mincho"/>
          <w:lang w:eastAsia="ja-JP"/>
        </w:rPr>
        <w:t>similar to normal NR network and the CLI mitigation features will be applicable in network with IAB deployment.</w:t>
      </w:r>
    </w:p>
    <w:p w14:paraId="61A0A77A" w14:textId="77777777" w:rsidR="00692078" w:rsidRDefault="00692078" w:rsidP="009B429F">
      <w:pPr>
        <w:spacing w:after="120"/>
        <w:jc w:val="both"/>
        <w:rPr>
          <w:rFonts w:eastAsia="MS Mincho"/>
          <w:u w:val="single"/>
          <w:lang w:eastAsia="ja-JP"/>
        </w:rPr>
      </w:pPr>
    </w:p>
    <w:p w14:paraId="11F45A79" w14:textId="10598191" w:rsidR="009B429F" w:rsidRDefault="009B429F" w:rsidP="009B429F">
      <w:pPr>
        <w:spacing w:after="120"/>
        <w:jc w:val="both"/>
        <w:rPr>
          <w:rFonts w:eastAsia="MS Mincho"/>
          <w:lang w:eastAsia="ja-JP"/>
        </w:rPr>
      </w:pPr>
      <w:r w:rsidRPr="009B429F">
        <w:rPr>
          <w:rFonts w:eastAsia="MS Mincho"/>
          <w:u w:val="single"/>
          <w:lang w:eastAsia="ja-JP"/>
        </w:rPr>
        <w:t xml:space="preserve">Case </w:t>
      </w:r>
      <w:r>
        <w:rPr>
          <w:rFonts w:eastAsia="MS Mincho"/>
          <w:u w:val="single"/>
          <w:lang w:eastAsia="ja-JP"/>
        </w:rPr>
        <w:t>2</w:t>
      </w:r>
      <w:r w:rsidR="004C0981">
        <w:rPr>
          <w:rFonts w:eastAsia="MS Mincho"/>
          <w:u w:val="single"/>
          <w:lang w:eastAsia="ja-JP"/>
        </w:rPr>
        <w:t>/Case 6</w:t>
      </w:r>
      <w:r>
        <w:rPr>
          <w:rFonts w:eastAsia="MS Mincho"/>
          <w:lang w:eastAsia="ja-JP"/>
        </w:rPr>
        <w:t>:</w:t>
      </w:r>
    </w:p>
    <w:p w14:paraId="45ACDA60" w14:textId="72045EDC" w:rsidR="009B429F" w:rsidRDefault="009B429F" w:rsidP="009B429F">
      <w:pPr>
        <w:spacing w:after="120"/>
        <w:jc w:val="both"/>
        <w:rPr>
          <w:lang w:eastAsia="ko-KR"/>
        </w:rPr>
      </w:pPr>
      <w:r>
        <w:rPr>
          <w:rFonts w:eastAsia="MS Mincho"/>
          <w:lang w:eastAsia="ja-JP"/>
        </w:rPr>
        <w:t xml:space="preserve">There </w:t>
      </w:r>
      <w:r w:rsidR="002121A8">
        <w:rPr>
          <w:rFonts w:eastAsia="MS Mincho"/>
          <w:lang w:eastAsia="ja-JP"/>
        </w:rPr>
        <w:t xml:space="preserve">are </w:t>
      </w:r>
      <w:r>
        <w:rPr>
          <w:rFonts w:eastAsia="MS Mincho"/>
          <w:lang w:eastAsia="ja-JP"/>
        </w:rPr>
        <w:t xml:space="preserve">two interpretations for the Case 2 definition: </w:t>
      </w:r>
      <w:r w:rsidR="00D90732">
        <w:rPr>
          <w:rFonts w:eastAsia="MS Mincho"/>
          <w:lang w:eastAsia="ja-JP"/>
        </w:rPr>
        <w:t>“</w:t>
      </w:r>
      <w:r w:rsidR="00D90732" w:rsidRPr="006C524F">
        <w:rPr>
          <w:i/>
          <w:lang w:eastAsia="ko-KR"/>
        </w:rPr>
        <w:t>DL and UL transmission timing is aligned within an IAB node</w:t>
      </w:r>
      <w:r w:rsidR="00D90732">
        <w:rPr>
          <w:i/>
          <w:lang w:eastAsia="ko-KR"/>
        </w:rPr>
        <w:t>”</w:t>
      </w:r>
      <w:r w:rsidR="00D90732">
        <w:rPr>
          <w:lang w:eastAsia="ko-KR"/>
        </w:rPr>
        <w:t xml:space="preserve">. The two alternatives are illustrated in </w:t>
      </w:r>
      <w:r w:rsidR="00D90732">
        <w:rPr>
          <w:lang w:eastAsia="ko-KR"/>
        </w:rPr>
        <w:fldChar w:fldCharType="begin"/>
      </w:r>
      <w:r w:rsidR="00D90732">
        <w:rPr>
          <w:lang w:eastAsia="ko-KR"/>
        </w:rPr>
        <w:instrText xml:space="preserve"> REF _Ref525651143 \h </w:instrText>
      </w:r>
      <w:r w:rsidR="00D90732">
        <w:rPr>
          <w:lang w:eastAsia="ko-KR"/>
        </w:rPr>
      </w:r>
      <w:r w:rsidR="00D90732">
        <w:rPr>
          <w:lang w:eastAsia="ko-KR"/>
        </w:rPr>
        <w:fldChar w:fldCharType="separate"/>
      </w:r>
      <w:r w:rsidR="00D90732">
        <w:t xml:space="preserve">Figure </w:t>
      </w:r>
      <w:r w:rsidR="00D90732">
        <w:rPr>
          <w:noProof/>
        </w:rPr>
        <w:t>1</w:t>
      </w:r>
      <w:r w:rsidR="00D90732">
        <w:rPr>
          <w:lang w:eastAsia="ko-KR"/>
        </w:rPr>
        <w:fldChar w:fldCharType="end"/>
      </w:r>
      <w:r w:rsidR="00D90732">
        <w:rPr>
          <w:lang w:eastAsia="ko-KR"/>
        </w:rPr>
        <w:t>.</w:t>
      </w:r>
    </w:p>
    <w:p w14:paraId="48B76D3A" w14:textId="77777777" w:rsidR="00D90732" w:rsidRDefault="00D90732" w:rsidP="009B429F">
      <w:pPr>
        <w:spacing w:after="120"/>
        <w:jc w:val="both"/>
        <w:rPr>
          <w:lang w:eastAsia="ko-KR"/>
        </w:rPr>
      </w:pPr>
    </w:p>
    <w:p w14:paraId="03B67731" w14:textId="246273EC" w:rsidR="00D90732" w:rsidRDefault="00D90732" w:rsidP="00692078">
      <w:pPr>
        <w:spacing w:after="120"/>
        <w:jc w:val="right"/>
        <w:rPr>
          <w:rFonts w:eastAsia="MS Mincho"/>
          <w:lang w:eastAsia="ja-JP"/>
        </w:rPr>
      </w:pPr>
      <w:r w:rsidRPr="00D90732">
        <w:rPr>
          <w:noProof/>
        </w:rPr>
        <w:drawing>
          <wp:inline distT="0" distB="0" distL="0" distR="0" wp14:anchorId="4C03DC07" wp14:editId="7100BF75">
            <wp:extent cx="2795037" cy="169712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0587" cy="1700496"/>
                    </a:xfrm>
                    <a:prstGeom prst="rect">
                      <a:avLst/>
                    </a:prstGeom>
                    <a:noFill/>
                    <a:ln>
                      <a:noFill/>
                    </a:ln>
                  </pic:spPr>
                </pic:pic>
              </a:graphicData>
            </a:graphic>
          </wp:inline>
        </w:drawing>
      </w:r>
      <w:r>
        <w:rPr>
          <w:rFonts w:eastAsia="MS Mincho"/>
          <w:lang w:eastAsia="ja-JP"/>
        </w:rPr>
        <w:t xml:space="preserve"> </w:t>
      </w:r>
      <w:r w:rsidRPr="00D90732">
        <w:rPr>
          <w:noProof/>
        </w:rPr>
        <w:drawing>
          <wp:inline distT="0" distB="0" distL="0" distR="0" wp14:anchorId="07D4B5DD" wp14:editId="0C834E60">
            <wp:extent cx="2779776" cy="168786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1116" cy="1694745"/>
                    </a:xfrm>
                    <a:prstGeom prst="rect">
                      <a:avLst/>
                    </a:prstGeom>
                    <a:noFill/>
                    <a:ln>
                      <a:noFill/>
                    </a:ln>
                  </pic:spPr>
                </pic:pic>
              </a:graphicData>
            </a:graphic>
          </wp:inline>
        </w:drawing>
      </w:r>
    </w:p>
    <w:p w14:paraId="7005DD4D" w14:textId="366D457F" w:rsidR="00D90732" w:rsidRPr="00D90732" w:rsidRDefault="00D90732" w:rsidP="00D90732">
      <w:pPr>
        <w:pStyle w:val="Caption"/>
        <w:jc w:val="center"/>
        <w:rPr>
          <w:rFonts w:eastAsia="MS Mincho"/>
          <w:lang w:eastAsia="ja-JP"/>
        </w:rPr>
      </w:pPr>
      <w:bookmarkStart w:id="1" w:name="_Ref525651143"/>
      <w:r>
        <w:t xml:space="preserve">Figure </w:t>
      </w:r>
      <w:r>
        <w:fldChar w:fldCharType="begin"/>
      </w:r>
      <w:r>
        <w:instrText xml:space="preserve"> SEQ Figure \* ARABIC </w:instrText>
      </w:r>
      <w:r>
        <w:fldChar w:fldCharType="separate"/>
      </w:r>
      <w:r w:rsidR="00281D1C">
        <w:rPr>
          <w:noProof/>
        </w:rPr>
        <w:t>1</w:t>
      </w:r>
      <w:r>
        <w:fldChar w:fldCharType="end"/>
      </w:r>
      <w:bookmarkEnd w:id="1"/>
      <w:r>
        <w:t xml:space="preserve"> Alternative interpretations for Case 2 implementation</w:t>
      </w:r>
    </w:p>
    <w:p w14:paraId="79DC1178" w14:textId="77777777" w:rsidR="00692078" w:rsidRDefault="00692078" w:rsidP="0029518B">
      <w:pPr>
        <w:spacing w:after="120"/>
        <w:jc w:val="both"/>
        <w:rPr>
          <w:rFonts w:eastAsia="MS Mincho"/>
          <w:lang w:eastAsia="ja-JP"/>
        </w:rPr>
      </w:pPr>
    </w:p>
    <w:p w14:paraId="3C2F8B8E" w14:textId="77777777" w:rsidR="004C0981" w:rsidRDefault="00D90732" w:rsidP="0029518B">
      <w:pPr>
        <w:spacing w:after="120"/>
        <w:jc w:val="both"/>
        <w:rPr>
          <w:rFonts w:eastAsia="MS Mincho"/>
          <w:lang w:eastAsia="ja-JP"/>
        </w:rPr>
      </w:pPr>
      <w:r>
        <w:rPr>
          <w:rFonts w:eastAsia="MS Mincho"/>
          <w:lang w:eastAsia="ja-JP"/>
        </w:rPr>
        <w:t xml:space="preserve">Case 2a is the one discussed in RAN1#94: The alignment is based on the BH UL timing applying normal TA control. Hence, the DL timing will be advanced w.r.t. DL TX timing of the parent node. For this reason, the DL links will become asynchronous </w:t>
      </w:r>
      <w:r w:rsidRPr="00D90732">
        <w:rPr>
          <w:rFonts w:eastAsia="MS Mincho"/>
          <w:lang w:val="en-US" w:eastAsia="ja-JP"/>
        </w:rPr>
        <w:t>with the drawba</w:t>
      </w:r>
      <w:r w:rsidR="004C0981">
        <w:rPr>
          <w:rFonts w:eastAsia="MS Mincho"/>
          <w:lang w:val="en-US" w:eastAsia="ja-JP"/>
        </w:rPr>
        <w:t>c</w:t>
      </w:r>
      <w:r w:rsidRPr="00D90732">
        <w:rPr>
          <w:rFonts w:eastAsia="MS Mincho"/>
          <w:lang w:val="en-US" w:eastAsia="ja-JP"/>
        </w:rPr>
        <w:t xml:space="preserve">ks </w:t>
      </w:r>
      <w:r>
        <w:rPr>
          <w:rFonts w:eastAsia="MS Mincho"/>
          <w:lang w:eastAsia="ja-JP"/>
        </w:rPr>
        <w:t xml:space="preserve">resulting from the varying DL timing. </w:t>
      </w:r>
    </w:p>
    <w:p w14:paraId="5F629FA0" w14:textId="1A2A17F7" w:rsidR="004C0981" w:rsidRDefault="00D90732" w:rsidP="0029518B">
      <w:pPr>
        <w:spacing w:after="120"/>
        <w:jc w:val="both"/>
        <w:rPr>
          <w:rFonts w:eastAsia="MS Mincho"/>
          <w:lang w:eastAsia="ja-JP"/>
        </w:rPr>
      </w:pPr>
      <w:r>
        <w:rPr>
          <w:rFonts w:eastAsia="MS Mincho"/>
          <w:lang w:eastAsia="ja-JP"/>
        </w:rPr>
        <w:t xml:space="preserve">The alternative 2b would align the BH UL timing with the IAB access DL timing which in turn would be aligned </w:t>
      </w:r>
      <w:r w:rsidR="00692078">
        <w:rPr>
          <w:rFonts w:eastAsia="MS Mincho"/>
          <w:lang w:eastAsia="ja-JP"/>
        </w:rPr>
        <w:t xml:space="preserve">parent node DL TX, i.e. Donor BH DL in </w:t>
      </w:r>
      <w:r w:rsidR="00692078">
        <w:rPr>
          <w:rFonts w:eastAsia="MS Mincho"/>
          <w:lang w:eastAsia="ja-JP"/>
        </w:rPr>
        <w:fldChar w:fldCharType="begin"/>
      </w:r>
      <w:r w:rsidR="00692078">
        <w:rPr>
          <w:rFonts w:eastAsia="MS Mincho"/>
          <w:lang w:eastAsia="ja-JP"/>
        </w:rPr>
        <w:instrText xml:space="preserve"> REF _Ref525651143 \h </w:instrText>
      </w:r>
      <w:r w:rsidR="00692078">
        <w:rPr>
          <w:rFonts w:eastAsia="MS Mincho"/>
          <w:lang w:eastAsia="ja-JP"/>
        </w:rPr>
      </w:r>
      <w:r w:rsidR="00692078">
        <w:rPr>
          <w:rFonts w:eastAsia="MS Mincho"/>
          <w:lang w:eastAsia="ja-JP"/>
        </w:rPr>
        <w:fldChar w:fldCharType="separate"/>
      </w:r>
      <w:r w:rsidR="00692078">
        <w:t xml:space="preserve">Figure </w:t>
      </w:r>
      <w:r w:rsidR="00692078">
        <w:rPr>
          <w:noProof/>
        </w:rPr>
        <w:t>1</w:t>
      </w:r>
      <w:r w:rsidR="00692078">
        <w:rPr>
          <w:rFonts w:eastAsia="MS Mincho"/>
          <w:lang w:eastAsia="ja-JP"/>
        </w:rPr>
        <w:fldChar w:fldCharType="end"/>
      </w:r>
      <w:r w:rsidR="00692078">
        <w:rPr>
          <w:rFonts w:eastAsia="MS Mincho"/>
          <w:lang w:eastAsia="ja-JP"/>
        </w:rPr>
        <w:t>. By this, the DL timing in each cell, either served by Donor or IAB node, would be synchronized as opposed to Case 2a.</w:t>
      </w:r>
      <w:r w:rsidR="004C0981">
        <w:rPr>
          <w:rFonts w:eastAsia="MS Mincho"/>
          <w:lang w:eastAsia="ja-JP"/>
        </w:rPr>
        <w:t xml:space="preserve"> With this, t</w:t>
      </w:r>
      <w:r w:rsidR="00692078">
        <w:rPr>
          <w:rFonts w:eastAsia="MS Mincho"/>
          <w:lang w:eastAsia="ja-JP"/>
        </w:rPr>
        <w:t>he Case 2b</w:t>
      </w:r>
      <w:r w:rsidR="004C0981">
        <w:rPr>
          <w:rFonts w:eastAsia="MS Mincho"/>
          <w:lang w:eastAsia="ja-JP"/>
        </w:rPr>
        <w:t xml:space="preserve"> becomes Case 6 as it has been defined in the RAN1</w:t>
      </w:r>
      <w:r w:rsidR="002121A8">
        <w:rPr>
          <w:rFonts w:eastAsia="MS Mincho"/>
          <w:lang w:eastAsia="ja-JP"/>
        </w:rPr>
        <w:t>#94</w:t>
      </w:r>
      <w:r w:rsidR="004C0981">
        <w:rPr>
          <w:rFonts w:eastAsia="MS Mincho"/>
          <w:lang w:eastAsia="ja-JP"/>
        </w:rPr>
        <w:t xml:space="preserve"> agreement.</w:t>
      </w:r>
    </w:p>
    <w:p w14:paraId="505E2B75" w14:textId="2D5E0451" w:rsidR="00692078" w:rsidRDefault="004C0981" w:rsidP="0029518B">
      <w:pPr>
        <w:spacing w:after="120"/>
        <w:jc w:val="both"/>
        <w:rPr>
          <w:rFonts w:eastAsia="MS Mincho"/>
          <w:lang w:eastAsia="ja-JP"/>
        </w:rPr>
      </w:pPr>
      <w:r>
        <w:rPr>
          <w:rFonts w:eastAsia="MS Mincho"/>
          <w:lang w:eastAsia="ja-JP"/>
        </w:rPr>
        <w:t xml:space="preserve">This option </w:t>
      </w:r>
      <w:r w:rsidR="00692078">
        <w:rPr>
          <w:rFonts w:eastAsia="MS Mincho"/>
          <w:lang w:eastAsia="ja-JP"/>
        </w:rPr>
        <w:t xml:space="preserve">has the issue how to adjust the IAB Access DL timing when the TA control on the upstream BH link is not applied for IAB UL timing. The Donor node would be able to derive the propagation delay from the RX timing of the BH UL signal. That information is not conveyed to the IAB node with normal TA control as the UL timing should be fixed and tied to the DL timing. </w:t>
      </w:r>
      <w:r w:rsidR="005F209C">
        <w:rPr>
          <w:rFonts w:eastAsia="MS Mincho"/>
          <w:lang w:eastAsia="ja-JP"/>
        </w:rPr>
        <w:t>To solve this, following operation can be considered:</w:t>
      </w:r>
    </w:p>
    <w:p w14:paraId="7C55F4CF" w14:textId="47A419FB" w:rsidR="005F209C" w:rsidRPr="003751C9" w:rsidRDefault="005F209C" w:rsidP="005F209C">
      <w:pPr>
        <w:pStyle w:val="ListParagraph"/>
        <w:numPr>
          <w:ilvl w:val="0"/>
          <w:numId w:val="44"/>
        </w:numPr>
        <w:spacing w:after="120"/>
        <w:jc w:val="both"/>
        <w:rPr>
          <w:rFonts w:eastAsia="MS Mincho"/>
          <w:sz w:val="20"/>
          <w:szCs w:val="20"/>
          <w:lang w:val="en-GB" w:eastAsia="ja-JP"/>
        </w:rPr>
      </w:pPr>
      <w:r w:rsidRPr="003751C9">
        <w:rPr>
          <w:rFonts w:eastAsia="MS Mincho"/>
          <w:sz w:val="20"/>
          <w:szCs w:val="20"/>
          <w:lang w:val="en-GB" w:eastAsia="ja-JP"/>
        </w:rPr>
        <w:t>Rely initially on TA in the RAR message as response to the normal RACH preamble transmission; Donor/parent node can estimate the propagation delay (TP) and set the TA value equal to the TP, i.e. not 2*TA</w:t>
      </w:r>
    </w:p>
    <w:p w14:paraId="7D859C6E" w14:textId="32FCB3EF" w:rsidR="005F209C" w:rsidRPr="003751C9" w:rsidRDefault="005F209C" w:rsidP="005F209C">
      <w:pPr>
        <w:pStyle w:val="ListParagraph"/>
        <w:numPr>
          <w:ilvl w:val="1"/>
          <w:numId w:val="44"/>
        </w:numPr>
        <w:spacing w:after="120"/>
        <w:jc w:val="both"/>
        <w:rPr>
          <w:rFonts w:eastAsia="MS Mincho"/>
          <w:sz w:val="20"/>
          <w:szCs w:val="20"/>
          <w:lang w:val="en-GB" w:eastAsia="ja-JP"/>
        </w:rPr>
      </w:pPr>
      <w:r w:rsidRPr="003751C9">
        <w:rPr>
          <w:rFonts w:eastAsia="MS Mincho"/>
          <w:sz w:val="20"/>
          <w:szCs w:val="20"/>
          <w:lang w:val="en-GB" w:eastAsia="ja-JP"/>
        </w:rPr>
        <w:t xml:space="preserve">This would assume that the Donor/parent node would be aware of the </w:t>
      </w:r>
      <w:r w:rsidR="003751C9" w:rsidRPr="003751C9">
        <w:rPr>
          <w:rFonts w:eastAsia="MS Mincho"/>
          <w:sz w:val="20"/>
          <w:szCs w:val="20"/>
          <w:lang w:val="en-GB" w:eastAsia="ja-JP"/>
        </w:rPr>
        <w:t>type of the accessing node (either IAB or access UE), how that would be known is FFS</w:t>
      </w:r>
    </w:p>
    <w:p w14:paraId="18B1E492" w14:textId="08C871F1" w:rsidR="005F209C" w:rsidRPr="003751C9" w:rsidRDefault="005F209C" w:rsidP="005F209C">
      <w:pPr>
        <w:pStyle w:val="ListParagraph"/>
        <w:numPr>
          <w:ilvl w:val="0"/>
          <w:numId w:val="44"/>
        </w:numPr>
        <w:spacing w:after="120"/>
        <w:jc w:val="both"/>
        <w:rPr>
          <w:rFonts w:eastAsia="MS Mincho"/>
          <w:sz w:val="20"/>
          <w:szCs w:val="20"/>
          <w:lang w:val="en-GB" w:eastAsia="ja-JP"/>
        </w:rPr>
      </w:pPr>
      <w:r w:rsidRPr="003751C9">
        <w:rPr>
          <w:rFonts w:eastAsia="MS Mincho"/>
          <w:sz w:val="20"/>
          <w:szCs w:val="20"/>
          <w:lang w:val="en-GB" w:eastAsia="ja-JP"/>
        </w:rPr>
        <w:t xml:space="preserve">Later, the TA </w:t>
      </w:r>
      <w:r w:rsidR="003751C9" w:rsidRPr="003751C9">
        <w:rPr>
          <w:rFonts w:eastAsia="MS Mincho"/>
          <w:sz w:val="20"/>
          <w:szCs w:val="20"/>
          <w:lang w:val="en-GB" w:eastAsia="ja-JP"/>
        </w:rPr>
        <w:t>adjustments can be relative to the existing timing where the initially estimated TP will be the target UL timing</w:t>
      </w:r>
    </w:p>
    <w:p w14:paraId="0CC7D8C9" w14:textId="14D5C01A" w:rsidR="003751C9" w:rsidRDefault="00285308" w:rsidP="003751C9">
      <w:pPr>
        <w:spacing w:after="120"/>
        <w:jc w:val="both"/>
        <w:rPr>
          <w:rFonts w:eastAsia="MS Mincho"/>
          <w:lang w:val="en-US" w:eastAsia="ja-JP"/>
        </w:rPr>
      </w:pPr>
      <w:r>
        <w:rPr>
          <w:rFonts w:eastAsia="MS Mincho"/>
          <w:lang w:val="en-US" w:eastAsia="ja-JP"/>
        </w:rPr>
        <w:t xml:space="preserve">The </w:t>
      </w:r>
      <w:r w:rsidR="004C0981">
        <w:rPr>
          <w:rFonts w:eastAsia="MS Mincho"/>
          <w:lang w:val="en-US" w:eastAsia="ja-JP"/>
        </w:rPr>
        <w:t>drawback of the Case 6</w:t>
      </w:r>
      <w:r>
        <w:rPr>
          <w:rFonts w:eastAsia="MS Mincho"/>
          <w:lang w:val="en-US" w:eastAsia="ja-JP"/>
        </w:rPr>
        <w:t xml:space="preserve"> is that possible error in the initial TP estimation, and therefore TA value, cannot be corrected but that remains as the reference for later adjustments.</w:t>
      </w:r>
    </w:p>
    <w:p w14:paraId="084EE6AC" w14:textId="24C4FC1B" w:rsidR="00285308" w:rsidRPr="00285308" w:rsidRDefault="004C0981" w:rsidP="003751C9">
      <w:pPr>
        <w:spacing w:after="120"/>
        <w:jc w:val="both"/>
        <w:rPr>
          <w:rFonts w:eastAsia="MS Mincho"/>
          <w:b/>
          <w:lang w:val="en-US" w:eastAsia="ja-JP"/>
        </w:rPr>
      </w:pPr>
      <w:r>
        <w:rPr>
          <w:rFonts w:eastAsia="MS Mincho"/>
          <w:b/>
          <w:lang w:val="en-US" w:eastAsia="ja-JP"/>
        </w:rPr>
        <w:t>Observation 1: Case 6</w:t>
      </w:r>
      <w:r w:rsidR="00285308" w:rsidRPr="00285308">
        <w:rPr>
          <w:rFonts w:eastAsia="MS Mincho"/>
          <w:b/>
          <w:lang w:val="en-US" w:eastAsia="ja-JP"/>
        </w:rPr>
        <w:t xml:space="preserve"> would allow synchronized DL but timing adjustment during the active connection will be based on the initial TP/TA estimation.</w:t>
      </w:r>
    </w:p>
    <w:p w14:paraId="2AB4F1C8" w14:textId="4437BE8A" w:rsidR="00692078" w:rsidRPr="004C0981" w:rsidRDefault="00285308" w:rsidP="0029518B">
      <w:pPr>
        <w:spacing w:after="120"/>
        <w:jc w:val="both"/>
        <w:rPr>
          <w:rFonts w:eastAsia="MS Mincho"/>
          <w:b/>
          <w:lang w:val="en-US" w:eastAsia="ja-JP"/>
        </w:rPr>
      </w:pPr>
      <w:r w:rsidRPr="00285308">
        <w:rPr>
          <w:rFonts w:eastAsia="MS Mincho"/>
          <w:b/>
          <w:lang w:val="en-US" w:eastAsia="ja-JP"/>
        </w:rPr>
        <w:t>Observation 2: To apply described setting of the IAB timing would require knowledge of the type of the accessing node at the Donor/parent node to be able to have IAB specific TA adjustment.</w:t>
      </w:r>
      <w:r w:rsidR="004C0981">
        <w:rPr>
          <w:rFonts w:eastAsia="MS Mincho"/>
          <w:b/>
          <w:lang w:val="en-US" w:eastAsia="ja-JP"/>
        </w:rPr>
        <w:t xml:space="preserve"> It is FFS how to indicate the type of the accessing node to the Donor/parent node.</w:t>
      </w:r>
    </w:p>
    <w:p w14:paraId="758A4091" w14:textId="6860F0E3" w:rsidR="009B429F" w:rsidRDefault="009B429F" w:rsidP="0029518B">
      <w:pPr>
        <w:spacing w:after="120"/>
        <w:jc w:val="both"/>
        <w:rPr>
          <w:rFonts w:eastAsia="MS Mincho"/>
          <w:lang w:eastAsia="ja-JP"/>
        </w:rPr>
      </w:pPr>
    </w:p>
    <w:p w14:paraId="5AAE960E" w14:textId="753B0586" w:rsidR="00781A0F" w:rsidRDefault="00781A0F" w:rsidP="00781A0F">
      <w:pPr>
        <w:spacing w:after="120"/>
        <w:jc w:val="both"/>
        <w:rPr>
          <w:rFonts w:eastAsia="MS Mincho"/>
          <w:lang w:eastAsia="ja-JP"/>
        </w:rPr>
      </w:pPr>
      <w:r>
        <w:rPr>
          <w:rFonts w:eastAsia="MS Mincho"/>
          <w:u w:val="single"/>
          <w:lang w:eastAsia="ja-JP"/>
        </w:rPr>
        <w:lastRenderedPageBreak/>
        <w:t>Case 7</w:t>
      </w:r>
      <w:r>
        <w:rPr>
          <w:rFonts w:eastAsia="MS Mincho"/>
          <w:lang w:eastAsia="ja-JP"/>
        </w:rPr>
        <w:t>:</w:t>
      </w:r>
    </w:p>
    <w:p w14:paraId="10EAB8AC" w14:textId="1D7FF7D5" w:rsidR="00781A0F" w:rsidRDefault="00281D1C" w:rsidP="001E287E">
      <w:pPr>
        <w:spacing w:after="120"/>
        <w:jc w:val="both"/>
        <w:rPr>
          <w:rFonts w:eastAsia="MS Mincho"/>
          <w:lang w:eastAsia="ja-JP"/>
        </w:rPr>
      </w:pPr>
      <w:r>
        <w:rPr>
          <w:rFonts w:eastAsia="MS Mincho"/>
          <w:lang w:eastAsia="ja-JP"/>
        </w:rPr>
        <w:t xml:space="preserve">Case 7 is a combination of Case 1 DL timing and Case 3 UL timing. The relative link timings are illustrated in </w:t>
      </w:r>
      <w:r>
        <w:rPr>
          <w:rFonts w:eastAsia="MS Mincho"/>
          <w:lang w:eastAsia="ja-JP"/>
        </w:rPr>
        <w:fldChar w:fldCharType="begin"/>
      </w:r>
      <w:r>
        <w:rPr>
          <w:rFonts w:eastAsia="MS Mincho"/>
          <w:lang w:eastAsia="ja-JP"/>
        </w:rPr>
        <w:instrText xml:space="preserve"> REF _Ref525655540 \h </w:instrText>
      </w:r>
      <w:r>
        <w:rPr>
          <w:rFonts w:eastAsia="MS Mincho"/>
          <w:lang w:eastAsia="ja-JP"/>
        </w:rPr>
      </w:r>
      <w:r>
        <w:rPr>
          <w:rFonts w:eastAsia="MS Mincho"/>
          <w:lang w:eastAsia="ja-JP"/>
        </w:rPr>
        <w:fldChar w:fldCharType="separate"/>
      </w:r>
      <w:r>
        <w:t xml:space="preserve">Figure </w:t>
      </w:r>
      <w:r>
        <w:rPr>
          <w:noProof/>
        </w:rPr>
        <w:t>2</w:t>
      </w:r>
      <w:r>
        <w:rPr>
          <w:rFonts w:eastAsia="MS Mincho"/>
          <w:lang w:eastAsia="ja-JP"/>
        </w:rPr>
        <w:fldChar w:fldCharType="end"/>
      </w:r>
      <w:r>
        <w:rPr>
          <w:rFonts w:eastAsia="MS Mincho"/>
          <w:lang w:eastAsia="ja-JP"/>
        </w:rPr>
        <w:t>.</w:t>
      </w:r>
    </w:p>
    <w:p w14:paraId="31EF18A4" w14:textId="3C91281D" w:rsidR="001E287E" w:rsidRDefault="001E287E" w:rsidP="001E287E">
      <w:pPr>
        <w:spacing w:after="120"/>
        <w:jc w:val="both"/>
        <w:rPr>
          <w:rFonts w:eastAsia="MS Mincho"/>
          <w:lang w:eastAsia="ja-JP"/>
        </w:rPr>
      </w:pPr>
    </w:p>
    <w:p w14:paraId="27BCC6E4" w14:textId="501DC5DF" w:rsidR="001E287E" w:rsidRDefault="004C0066" w:rsidP="004C0066">
      <w:pPr>
        <w:spacing w:after="120"/>
        <w:jc w:val="center"/>
        <w:rPr>
          <w:rFonts w:eastAsia="MS Mincho"/>
          <w:lang w:eastAsia="ja-JP"/>
        </w:rPr>
      </w:pPr>
      <w:r w:rsidRPr="004C0066">
        <w:rPr>
          <w:noProof/>
        </w:rPr>
        <w:drawing>
          <wp:inline distT="0" distB="0" distL="0" distR="0" wp14:anchorId="7B279A57" wp14:editId="3A414684">
            <wp:extent cx="5083810" cy="1536192"/>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4902" cy="1542566"/>
                    </a:xfrm>
                    <a:prstGeom prst="rect">
                      <a:avLst/>
                    </a:prstGeom>
                    <a:noFill/>
                    <a:ln>
                      <a:noFill/>
                    </a:ln>
                  </pic:spPr>
                </pic:pic>
              </a:graphicData>
            </a:graphic>
          </wp:inline>
        </w:drawing>
      </w:r>
    </w:p>
    <w:p w14:paraId="213CCA8A" w14:textId="00466373" w:rsidR="00281D1C" w:rsidRPr="00781A0F" w:rsidRDefault="00281D1C" w:rsidP="00281D1C">
      <w:pPr>
        <w:pStyle w:val="Caption"/>
        <w:jc w:val="center"/>
        <w:rPr>
          <w:rFonts w:eastAsia="MS Mincho"/>
          <w:lang w:eastAsia="ja-JP"/>
        </w:rPr>
      </w:pPr>
      <w:bookmarkStart w:id="2" w:name="_Ref525655540"/>
      <w:r>
        <w:t xml:space="preserve">Figure </w:t>
      </w:r>
      <w:r>
        <w:fldChar w:fldCharType="begin"/>
      </w:r>
      <w:r>
        <w:instrText xml:space="preserve"> SEQ Figure \* ARABIC </w:instrText>
      </w:r>
      <w:r>
        <w:fldChar w:fldCharType="separate"/>
      </w:r>
      <w:r>
        <w:rPr>
          <w:noProof/>
        </w:rPr>
        <w:t>2</w:t>
      </w:r>
      <w:r>
        <w:fldChar w:fldCharType="end"/>
      </w:r>
      <w:bookmarkEnd w:id="2"/>
      <w:r>
        <w:t xml:space="preserve"> IAB DL and UL timing according to Case 7 definition</w:t>
      </w:r>
    </w:p>
    <w:p w14:paraId="7EC0E5A5" w14:textId="77777777" w:rsidR="00781A0F" w:rsidRDefault="00781A0F" w:rsidP="0029518B">
      <w:pPr>
        <w:spacing w:after="120"/>
        <w:jc w:val="both"/>
        <w:rPr>
          <w:rFonts w:eastAsia="MS Mincho"/>
          <w:lang w:eastAsia="ja-JP"/>
        </w:rPr>
      </w:pPr>
    </w:p>
    <w:p w14:paraId="0BE9051B" w14:textId="77777777" w:rsidR="00E04534" w:rsidRDefault="00281D1C" w:rsidP="0029518B">
      <w:pPr>
        <w:spacing w:after="120"/>
        <w:jc w:val="both"/>
        <w:rPr>
          <w:rFonts w:eastAsia="MS Mincho"/>
          <w:lang w:eastAsia="ja-JP"/>
        </w:rPr>
      </w:pPr>
      <w:r>
        <w:rPr>
          <w:rFonts w:eastAsia="MS Mincho"/>
          <w:lang w:eastAsia="ja-JP"/>
        </w:rPr>
        <w:t>DL timing on the IAB access link (or downstream BH link to next hop IAB node) can be adjusted based on the adjusted TA value on the BH link. The propagation delay on the access link can be different from the delay on the BH link. Therefore, when aligning the RX signals, BH DL timing cannot be changed and the adjustment has to be done for the UL link. To do this, TA value for the access UL will not compensate the propagation delay on the access link.</w:t>
      </w:r>
    </w:p>
    <w:p w14:paraId="57A341BF" w14:textId="1E875DB3" w:rsidR="00781A0F" w:rsidRDefault="00281D1C" w:rsidP="0029518B">
      <w:pPr>
        <w:spacing w:after="120"/>
        <w:jc w:val="both"/>
        <w:rPr>
          <w:rFonts w:eastAsia="MS Mincho"/>
          <w:lang w:eastAsia="ja-JP"/>
        </w:rPr>
      </w:pPr>
      <w:r>
        <w:rPr>
          <w:rFonts w:eastAsia="MS Mincho"/>
          <w:lang w:eastAsia="ja-JP"/>
        </w:rPr>
        <w:t xml:space="preserve">The TA value sent by the </w:t>
      </w:r>
      <w:r w:rsidR="00D65A9C">
        <w:rPr>
          <w:rFonts w:eastAsia="MS Mincho"/>
          <w:lang w:eastAsia="ja-JP"/>
        </w:rPr>
        <w:t xml:space="preserve">IAB </w:t>
      </w:r>
      <w:r>
        <w:rPr>
          <w:rFonts w:eastAsia="MS Mincho"/>
          <w:lang w:eastAsia="ja-JP"/>
        </w:rPr>
        <w:t xml:space="preserve">node </w:t>
      </w:r>
      <w:r w:rsidR="00D65A9C">
        <w:rPr>
          <w:rFonts w:eastAsia="MS Mincho"/>
          <w:lang w:eastAsia="ja-JP"/>
        </w:rPr>
        <w:t xml:space="preserve">to the access UEs and child IAB nodes </w:t>
      </w:r>
      <w:r>
        <w:rPr>
          <w:rFonts w:eastAsia="MS Mincho"/>
          <w:lang w:eastAsia="ja-JP"/>
        </w:rPr>
        <w:t xml:space="preserve">will be affected by the propagation delay </w:t>
      </w:r>
      <w:r w:rsidR="00D65A9C">
        <w:rPr>
          <w:rFonts w:eastAsia="MS Mincho"/>
          <w:lang w:eastAsia="ja-JP"/>
        </w:rPr>
        <w:t xml:space="preserve">not only on the </w:t>
      </w:r>
      <w:r>
        <w:rPr>
          <w:rFonts w:eastAsia="MS Mincho"/>
          <w:lang w:eastAsia="ja-JP"/>
        </w:rPr>
        <w:t>access link</w:t>
      </w:r>
      <w:r w:rsidR="00D65A9C">
        <w:rPr>
          <w:rFonts w:eastAsia="MS Mincho"/>
          <w:lang w:eastAsia="ja-JP"/>
        </w:rPr>
        <w:t xml:space="preserve"> but also on the delay on the upstream BH link</w:t>
      </w:r>
      <w:r>
        <w:rPr>
          <w:rFonts w:eastAsia="MS Mincho"/>
          <w:lang w:eastAsia="ja-JP"/>
        </w:rPr>
        <w:t>.</w:t>
      </w:r>
      <w:r w:rsidR="00E04534">
        <w:rPr>
          <w:rFonts w:eastAsia="MS Mincho"/>
          <w:lang w:eastAsia="ja-JP"/>
        </w:rPr>
        <w:t xml:space="preserve"> </w:t>
      </w:r>
      <w:r w:rsidR="00D65A9C">
        <w:rPr>
          <w:rFonts w:eastAsia="MS Mincho"/>
          <w:lang w:eastAsia="ja-JP"/>
        </w:rPr>
        <w:t>Consequently, the TA value does not include information for the child IAB node to adjust the DL timing to be aligned with the parent node.</w:t>
      </w:r>
    </w:p>
    <w:p w14:paraId="206846C7" w14:textId="26922606" w:rsidR="00D65A9C" w:rsidRPr="00190FFA" w:rsidRDefault="00D65A9C" w:rsidP="0029518B">
      <w:pPr>
        <w:spacing w:after="120"/>
        <w:jc w:val="both"/>
        <w:rPr>
          <w:rFonts w:eastAsia="MS Mincho"/>
          <w:b/>
          <w:lang w:eastAsia="ja-JP"/>
        </w:rPr>
      </w:pPr>
      <w:r w:rsidRPr="00190FFA">
        <w:rPr>
          <w:rFonts w:eastAsia="MS Mincho"/>
          <w:b/>
          <w:lang w:eastAsia="ja-JP"/>
        </w:rPr>
        <w:t xml:space="preserve">Observation 3: </w:t>
      </w:r>
      <w:r w:rsidR="001D321F">
        <w:rPr>
          <w:rFonts w:eastAsia="MS Mincho"/>
          <w:b/>
          <w:lang w:eastAsia="ja-JP"/>
        </w:rPr>
        <w:t>Case 7 has</w:t>
      </w:r>
      <w:r w:rsidR="002121A8">
        <w:rPr>
          <w:rFonts w:eastAsia="MS Mincho"/>
          <w:b/>
          <w:lang w:eastAsia="ja-JP"/>
        </w:rPr>
        <w:t xml:space="preserve"> the</w:t>
      </w:r>
      <w:r w:rsidRPr="00190FFA">
        <w:rPr>
          <w:rFonts w:eastAsia="MS Mincho"/>
          <w:b/>
          <w:lang w:eastAsia="ja-JP"/>
        </w:rPr>
        <w:t xml:space="preserve"> issue how to adjust the DL timing of the next hop child IAB nodes because of different TA control.</w:t>
      </w:r>
    </w:p>
    <w:p w14:paraId="084DBCCE" w14:textId="28387953" w:rsidR="00B52E62" w:rsidRDefault="00B52E62" w:rsidP="00D17D32">
      <w:pPr>
        <w:rPr>
          <w:lang w:val="en-US"/>
        </w:rPr>
      </w:pPr>
      <w:r>
        <w:rPr>
          <w:lang w:val="en-US"/>
        </w:rPr>
        <w:t xml:space="preserve">Case 7 has the same consequence that the TA on the child link (either access or BH) can have negative values the same way as Case 3, </w:t>
      </w:r>
      <w:r>
        <w:rPr>
          <w:lang w:val="en-US"/>
        </w:rPr>
        <w:fldChar w:fldCharType="begin"/>
      </w:r>
      <w:r>
        <w:rPr>
          <w:lang w:val="en-US"/>
        </w:rPr>
        <w:instrText xml:space="preserve"> REF _Ref525649815 \r \h </w:instrText>
      </w:r>
      <w:r>
        <w:rPr>
          <w:lang w:val="en-US"/>
        </w:rPr>
      </w:r>
      <w:r>
        <w:rPr>
          <w:lang w:val="en-US"/>
        </w:rPr>
        <w:fldChar w:fldCharType="separate"/>
      </w:r>
      <w:r>
        <w:rPr>
          <w:lang w:val="en-US"/>
        </w:rPr>
        <w:t>[4]</w:t>
      </w:r>
      <w:r>
        <w:rPr>
          <w:lang w:val="en-US"/>
        </w:rPr>
        <w:fldChar w:fldCharType="end"/>
      </w:r>
      <w:r w:rsidR="007424EF">
        <w:rPr>
          <w:lang w:val="en-US"/>
        </w:rPr>
        <w:t>.</w:t>
      </w:r>
    </w:p>
    <w:p w14:paraId="06F4921A" w14:textId="1F41BDC2" w:rsidR="00B52E62" w:rsidRPr="00190FFA" w:rsidRDefault="00B52E62" w:rsidP="00B52E62">
      <w:pPr>
        <w:spacing w:after="120"/>
        <w:jc w:val="both"/>
        <w:rPr>
          <w:rFonts w:eastAsia="MS Mincho"/>
          <w:b/>
          <w:lang w:eastAsia="ja-JP"/>
        </w:rPr>
      </w:pPr>
      <w:r>
        <w:rPr>
          <w:rFonts w:eastAsia="MS Mincho"/>
          <w:b/>
          <w:lang w:eastAsia="ja-JP"/>
        </w:rPr>
        <w:t>Observation 4</w:t>
      </w:r>
      <w:r w:rsidRPr="00190FFA">
        <w:rPr>
          <w:rFonts w:eastAsia="MS Mincho"/>
          <w:b/>
          <w:lang w:eastAsia="ja-JP"/>
        </w:rPr>
        <w:t xml:space="preserve">: </w:t>
      </w:r>
      <w:r>
        <w:rPr>
          <w:rFonts w:eastAsia="MS Mincho"/>
          <w:b/>
          <w:lang w:eastAsia="ja-JP"/>
        </w:rPr>
        <w:t>TA on the IAB access link and (child) BH link can have negative values</w:t>
      </w:r>
      <w:r w:rsidR="000C5B1F">
        <w:rPr>
          <w:rFonts w:eastAsia="MS Mincho"/>
          <w:b/>
          <w:lang w:eastAsia="ja-JP"/>
        </w:rPr>
        <w:t xml:space="preserve"> in Case 7.</w:t>
      </w:r>
    </w:p>
    <w:p w14:paraId="05EF9845" w14:textId="19A0A5EF" w:rsidR="006E26D3" w:rsidRDefault="002121A8" w:rsidP="00D17D32">
      <w:pPr>
        <w:rPr>
          <w:lang w:val="en-US"/>
        </w:rPr>
      </w:pPr>
      <w:r>
        <w:rPr>
          <w:lang w:val="en-US"/>
        </w:rPr>
        <w:t xml:space="preserve">Like in </w:t>
      </w:r>
      <w:r w:rsidR="001D321F">
        <w:rPr>
          <w:lang w:val="en-US"/>
        </w:rPr>
        <w:t>Case 6, further studies are needed how the next hop child node can adjust the DL timing to be in synch with the other nodes. The TA control on the downstream BH link will be affected by the TA on the upstream BH link which is not known by the child IAB node.</w:t>
      </w:r>
    </w:p>
    <w:p w14:paraId="21D25AFE" w14:textId="09F01BB4" w:rsidR="001D321F" w:rsidRPr="001D321F" w:rsidRDefault="00B52E62" w:rsidP="00D17D32">
      <w:pPr>
        <w:rPr>
          <w:b/>
          <w:lang w:val="en-US"/>
        </w:rPr>
      </w:pPr>
      <w:r>
        <w:rPr>
          <w:b/>
          <w:lang w:val="en-US"/>
        </w:rPr>
        <w:t>Observation 5</w:t>
      </w:r>
      <w:r w:rsidR="001D321F" w:rsidRPr="001D321F">
        <w:rPr>
          <w:b/>
          <w:lang w:val="en-US"/>
        </w:rPr>
        <w:t>: It is FFS how the DL timing can be aligned in a multi-hop IAB scenario applying Case 7 timing principles.</w:t>
      </w:r>
    </w:p>
    <w:p w14:paraId="05FC2958" w14:textId="77777777" w:rsidR="001D321F" w:rsidRDefault="001D321F" w:rsidP="00D17D32">
      <w:pPr>
        <w:rPr>
          <w:lang w:val="en-US"/>
        </w:rPr>
      </w:pPr>
    </w:p>
    <w:p w14:paraId="3C94B7E4" w14:textId="7EF0162F" w:rsidR="0045097F" w:rsidRDefault="006A7EE9" w:rsidP="0045097F">
      <w:pPr>
        <w:pStyle w:val="Heading2"/>
        <w:rPr>
          <w:lang w:val="en-US"/>
        </w:rPr>
      </w:pPr>
      <w:r>
        <w:rPr>
          <w:lang w:val="en-US"/>
        </w:rPr>
        <w:t>2.2</w:t>
      </w:r>
      <w:r w:rsidR="005A1730">
        <w:rPr>
          <w:lang w:val="en-US"/>
        </w:rPr>
        <w:tab/>
        <w:t>Usage of different timing options</w:t>
      </w:r>
    </w:p>
    <w:p w14:paraId="1A937F38" w14:textId="371A9BAD" w:rsidR="002121A8" w:rsidRDefault="00B52E62" w:rsidP="006A7EE9">
      <w:pPr>
        <w:spacing w:after="120"/>
        <w:jc w:val="both"/>
        <w:rPr>
          <w:rFonts w:eastAsia="MS Mincho"/>
          <w:lang w:val="en-US" w:eastAsia="ja-JP"/>
        </w:rPr>
      </w:pPr>
      <w:r>
        <w:rPr>
          <w:rFonts w:eastAsia="MS Mincho"/>
          <w:lang w:val="en-US" w:eastAsia="ja-JP"/>
        </w:rPr>
        <w:t xml:space="preserve">As discussed previously, timing options different from Case 1 have </w:t>
      </w:r>
      <w:r w:rsidR="000C5B1F">
        <w:rPr>
          <w:rFonts w:eastAsia="MS Mincho"/>
          <w:lang w:val="en-US" w:eastAsia="ja-JP"/>
        </w:rPr>
        <w:t xml:space="preserve">at least </w:t>
      </w:r>
      <w:r>
        <w:rPr>
          <w:rFonts w:eastAsia="MS Mincho"/>
          <w:lang w:val="en-US" w:eastAsia="ja-JP"/>
        </w:rPr>
        <w:t>following issues:</w:t>
      </w:r>
    </w:p>
    <w:p w14:paraId="36B62B29" w14:textId="15B56814" w:rsidR="00B52E62" w:rsidRPr="000C5B1F" w:rsidRDefault="00B52E62" w:rsidP="000C5B1F">
      <w:pPr>
        <w:pStyle w:val="ListParagraph"/>
        <w:numPr>
          <w:ilvl w:val="0"/>
          <w:numId w:val="46"/>
        </w:numPr>
        <w:spacing w:after="120"/>
        <w:jc w:val="both"/>
        <w:rPr>
          <w:rFonts w:eastAsia="MS Mincho"/>
          <w:sz w:val="20"/>
          <w:szCs w:val="20"/>
          <w:lang w:val="en-US" w:eastAsia="ja-JP"/>
        </w:rPr>
      </w:pPr>
      <w:r w:rsidRPr="000C5B1F">
        <w:rPr>
          <w:rFonts w:eastAsia="MS Mincho"/>
          <w:sz w:val="20"/>
          <w:szCs w:val="20"/>
          <w:lang w:val="en-US" w:eastAsia="ja-JP"/>
        </w:rPr>
        <w:t>Asynchronous DL: Cases 2(a) and Case 4</w:t>
      </w:r>
    </w:p>
    <w:p w14:paraId="3396F5C8" w14:textId="626AA27B" w:rsidR="000C5B1F" w:rsidRPr="000C5B1F" w:rsidRDefault="00B52E62" w:rsidP="000C5B1F">
      <w:pPr>
        <w:pStyle w:val="ListParagraph"/>
        <w:numPr>
          <w:ilvl w:val="1"/>
          <w:numId w:val="46"/>
        </w:numPr>
        <w:spacing w:after="120"/>
        <w:jc w:val="both"/>
        <w:rPr>
          <w:rFonts w:eastAsia="MS Mincho"/>
          <w:sz w:val="20"/>
          <w:szCs w:val="20"/>
          <w:lang w:val="en-US" w:eastAsia="ja-JP"/>
        </w:rPr>
      </w:pPr>
      <w:r w:rsidRPr="000C5B1F">
        <w:rPr>
          <w:rFonts w:eastAsia="MS Mincho"/>
          <w:sz w:val="20"/>
          <w:szCs w:val="20"/>
          <w:lang w:val="en-US" w:eastAsia="ja-JP"/>
        </w:rPr>
        <w:t>IAB specific interference scenarios</w:t>
      </w:r>
    </w:p>
    <w:p w14:paraId="5FAAB60E" w14:textId="3B10F667" w:rsidR="00B52E62" w:rsidRPr="000C5B1F" w:rsidRDefault="00B52E62" w:rsidP="000C5B1F">
      <w:pPr>
        <w:pStyle w:val="ListParagraph"/>
        <w:numPr>
          <w:ilvl w:val="0"/>
          <w:numId w:val="46"/>
        </w:numPr>
        <w:spacing w:after="120"/>
        <w:jc w:val="both"/>
        <w:rPr>
          <w:rFonts w:eastAsia="MS Mincho"/>
          <w:sz w:val="20"/>
          <w:szCs w:val="20"/>
          <w:lang w:val="en-US" w:eastAsia="ja-JP"/>
        </w:rPr>
      </w:pPr>
      <w:r w:rsidRPr="000C5B1F">
        <w:rPr>
          <w:rFonts w:eastAsia="MS Mincho"/>
          <w:sz w:val="20"/>
          <w:szCs w:val="20"/>
          <w:lang w:val="en-US" w:eastAsia="ja-JP"/>
        </w:rPr>
        <w:t>Negative TA: Case 3 and Case 7</w:t>
      </w:r>
    </w:p>
    <w:p w14:paraId="6E46E7B8" w14:textId="450D9FAA" w:rsidR="000C5B1F" w:rsidRPr="000C5B1F" w:rsidRDefault="000C5B1F" w:rsidP="000C5B1F">
      <w:pPr>
        <w:pStyle w:val="ListParagraph"/>
        <w:numPr>
          <w:ilvl w:val="0"/>
          <w:numId w:val="46"/>
        </w:numPr>
        <w:spacing w:after="240"/>
        <w:jc w:val="both"/>
        <w:rPr>
          <w:rFonts w:eastAsia="MS Mincho"/>
          <w:sz w:val="20"/>
          <w:szCs w:val="20"/>
          <w:lang w:val="en-US" w:eastAsia="ja-JP"/>
        </w:rPr>
      </w:pPr>
      <w:r w:rsidRPr="000C5B1F">
        <w:rPr>
          <w:rFonts w:eastAsia="MS Mincho"/>
          <w:sz w:val="20"/>
          <w:szCs w:val="20"/>
          <w:lang w:val="en-US" w:eastAsia="ja-JP"/>
        </w:rPr>
        <w:t>Further studies needed how to provide the DL timing for the child IAB nodes</w:t>
      </w:r>
    </w:p>
    <w:p w14:paraId="49561DE2" w14:textId="5A358649" w:rsidR="000C5B1F" w:rsidRDefault="000C5B1F" w:rsidP="006A7EE9">
      <w:pPr>
        <w:spacing w:after="120"/>
        <w:jc w:val="both"/>
        <w:rPr>
          <w:rFonts w:eastAsia="MS Mincho"/>
          <w:lang w:val="en-US" w:eastAsia="ja-JP"/>
        </w:rPr>
      </w:pPr>
      <w:r>
        <w:rPr>
          <w:rFonts w:eastAsia="MS Mincho"/>
          <w:lang w:val="en-US" w:eastAsia="ja-JP"/>
        </w:rPr>
        <w:t>It should be clarified if b) and/or c) in the list above would need specifications changes to make the related cases viable. Otherwise the timing options can be considered as implementation options to facilitate</w:t>
      </w:r>
      <w:r w:rsidR="00361A55">
        <w:rPr>
          <w:rFonts w:eastAsia="MS Mincho"/>
          <w:lang w:val="en-US" w:eastAsia="ja-JP"/>
        </w:rPr>
        <w:t xml:space="preserve"> certain</w:t>
      </w:r>
      <w:r>
        <w:rPr>
          <w:rFonts w:eastAsia="MS Mincho"/>
          <w:lang w:val="en-US" w:eastAsia="ja-JP"/>
        </w:rPr>
        <w:t xml:space="preserve"> IAB implementation</w:t>
      </w:r>
      <w:r w:rsidR="00361A55">
        <w:rPr>
          <w:rFonts w:eastAsia="MS Mincho"/>
          <w:lang w:val="en-US" w:eastAsia="ja-JP"/>
        </w:rPr>
        <w:t xml:space="preserve"> options</w:t>
      </w:r>
      <w:r>
        <w:rPr>
          <w:rFonts w:eastAsia="MS Mincho"/>
          <w:lang w:val="en-US" w:eastAsia="ja-JP"/>
        </w:rPr>
        <w:t xml:space="preserve"> and usage of SDM/FDM for </w:t>
      </w:r>
      <w:r w:rsidR="005303CF">
        <w:rPr>
          <w:rFonts w:eastAsia="MS Mincho"/>
          <w:lang w:val="en-US" w:eastAsia="ja-JP"/>
        </w:rPr>
        <w:t xml:space="preserve">multiplexing access and backhaul links. Time alignment either for RX or TX signal within an IAB node can enable more efficient utilization of radio resource in </w:t>
      </w:r>
      <w:r w:rsidR="00361A55">
        <w:rPr>
          <w:rStyle w:val="normaltextrun1"/>
        </w:rPr>
        <w:t>1) single panel scenario and 2) multi-panel scenario with FDM/SDM between Parent BH and Child links within a panel</w:t>
      </w:r>
      <w:r w:rsidR="005303CF">
        <w:rPr>
          <w:rFonts w:eastAsia="MS Mincho"/>
          <w:lang w:val="en-US" w:eastAsia="ja-JP"/>
        </w:rPr>
        <w:t xml:space="preserve">, see </w:t>
      </w:r>
      <w:r w:rsidR="005303CF">
        <w:rPr>
          <w:rFonts w:eastAsia="MS Mincho"/>
          <w:lang w:val="en-US" w:eastAsia="ja-JP"/>
        </w:rPr>
        <w:fldChar w:fldCharType="begin"/>
      </w:r>
      <w:r w:rsidR="005303CF">
        <w:rPr>
          <w:rFonts w:eastAsia="MS Mincho"/>
          <w:lang w:val="en-US" w:eastAsia="ja-JP"/>
        </w:rPr>
        <w:instrText xml:space="preserve"> REF _Ref525712077 \r \h </w:instrText>
      </w:r>
      <w:r w:rsidR="005303CF">
        <w:rPr>
          <w:rFonts w:eastAsia="MS Mincho"/>
          <w:lang w:val="en-US" w:eastAsia="ja-JP"/>
        </w:rPr>
      </w:r>
      <w:r w:rsidR="005303CF">
        <w:rPr>
          <w:rFonts w:eastAsia="MS Mincho"/>
          <w:lang w:val="en-US" w:eastAsia="ja-JP"/>
        </w:rPr>
        <w:fldChar w:fldCharType="separate"/>
      </w:r>
      <w:r w:rsidR="005303CF">
        <w:rPr>
          <w:rFonts w:eastAsia="MS Mincho"/>
          <w:lang w:val="en-US" w:eastAsia="ja-JP"/>
        </w:rPr>
        <w:t>[5]</w:t>
      </w:r>
      <w:r w:rsidR="005303CF">
        <w:rPr>
          <w:rFonts w:eastAsia="MS Mincho"/>
          <w:lang w:val="en-US" w:eastAsia="ja-JP"/>
        </w:rPr>
        <w:fldChar w:fldCharType="end"/>
      </w:r>
      <w:r w:rsidR="005303CF">
        <w:rPr>
          <w:rFonts w:eastAsia="MS Mincho"/>
          <w:lang w:val="en-US" w:eastAsia="ja-JP"/>
        </w:rPr>
        <w:t>.</w:t>
      </w:r>
    </w:p>
    <w:p w14:paraId="433420DE" w14:textId="526D950E" w:rsidR="00901AD6" w:rsidRPr="00901AD6" w:rsidRDefault="00541726" w:rsidP="006A7EE9">
      <w:pPr>
        <w:spacing w:after="120"/>
        <w:jc w:val="both"/>
        <w:rPr>
          <w:rFonts w:eastAsia="MS Mincho"/>
          <w:b/>
          <w:lang w:val="en-US" w:eastAsia="ja-JP"/>
        </w:rPr>
      </w:pPr>
      <w:r>
        <w:rPr>
          <w:rFonts w:eastAsia="MS Mincho"/>
          <w:b/>
          <w:lang w:val="en-US" w:eastAsia="ja-JP"/>
        </w:rPr>
        <w:t xml:space="preserve">Observation 6: Timing options apart from Case 1 can be considered as options facilitating the usage of SDM/FDM between the links especially with a </w:t>
      </w:r>
      <w:r w:rsidR="00361A55">
        <w:rPr>
          <w:rFonts w:eastAsia="MS Mincho"/>
          <w:b/>
          <w:lang w:val="en-US" w:eastAsia="ja-JP"/>
        </w:rPr>
        <w:t>single</w:t>
      </w:r>
      <w:r>
        <w:rPr>
          <w:rFonts w:eastAsia="MS Mincho"/>
          <w:b/>
          <w:lang w:val="en-US" w:eastAsia="ja-JP"/>
        </w:rPr>
        <w:t>-panel implementation</w:t>
      </w:r>
      <w:r w:rsidR="00901AD6" w:rsidRPr="00901AD6">
        <w:rPr>
          <w:rFonts w:eastAsia="MS Mincho"/>
          <w:b/>
          <w:lang w:val="en-US" w:eastAsia="ja-JP"/>
        </w:rPr>
        <w:t>.</w:t>
      </w:r>
    </w:p>
    <w:p w14:paraId="0D827FAF" w14:textId="6E9EC3AB" w:rsidR="0034111C" w:rsidRPr="00A51522" w:rsidRDefault="005E7117">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034D1B0" w14:textId="6B691435" w:rsidR="00E90924" w:rsidRDefault="00901AD6" w:rsidP="00D74E86">
      <w:pPr>
        <w:spacing w:afterLines="50" w:after="120"/>
        <w:jc w:val="both"/>
        <w:rPr>
          <w:lang w:val="en-US"/>
        </w:rPr>
      </w:pPr>
      <w:r>
        <w:rPr>
          <w:lang w:val="en-US"/>
        </w:rPr>
        <w:t xml:space="preserve">In this contribution we have </w:t>
      </w:r>
      <w:r w:rsidR="00181327">
        <w:rPr>
          <w:lang w:val="en-US"/>
        </w:rPr>
        <w:t xml:space="preserve">further </w:t>
      </w:r>
      <w:r>
        <w:rPr>
          <w:lang w:val="en-US"/>
        </w:rPr>
        <w:t xml:space="preserve">elaborated </w:t>
      </w:r>
      <w:r w:rsidR="00F3749B">
        <w:rPr>
          <w:lang w:val="en-US"/>
        </w:rPr>
        <w:t xml:space="preserve">the </w:t>
      </w:r>
      <w:r>
        <w:rPr>
          <w:lang w:val="en-US"/>
        </w:rPr>
        <w:t xml:space="preserve">options for </w:t>
      </w:r>
      <w:r w:rsidR="00F3749B">
        <w:rPr>
          <w:lang w:val="en-US"/>
        </w:rPr>
        <w:t xml:space="preserve">the IAB </w:t>
      </w:r>
      <w:r>
        <w:rPr>
          <w:lang w:val="en-US"/>
        </w:rPr>
        <w:t xml:space="preserve">TX/RX timing which were agreed by RAN1 to be studied. </w:t>
      </w:r>
      <w:r w:rsidR="00F3749B">
        <w:rPr>
          <w:lang w:val="en-US"/>
        </w:rPr>
        <w:t>With the analysis w</w:t>
      </w:r>
      <w:r>
        <w:rPr>
          <w:lang w:val="en-US"/>
        </w:rPr>
        <w:t>e ended up with following observations:</w:t>
      </w:r>
    </w:p>
    <w:p w14:paraId="1D2ED464" w14:textId="77777777" w:rsidR="009A5E99" w:rsidRPr="00285308" w:rsidRDefault="009A5E99" w:rsidP="009A5E99">
      <w:pPr>
        <w:spacing w:after="120"/>
        <w:jc w:val="both"/>
        <w:rPr>
          <w:rFonts w:eastAsia="MS Mincho"/>
          <w:b/>
          <w:lang w:val="en-US" w:eastAsia="ja-JP"/>
        </w:rPr>
      </w:pPr>
      <w:r>
        <w:rPr>
          <w:rFonts w:eastAsia="MS Mincho"/>
          <w:b/>
          <w:lang w:val="en-US" w:eastAsia="ja-JP"/>
        </w:rPr>
        <w:t>Observation 1: Case 6</w:t>
      </w:r>
      <w:r w:rsidRPr="00285308">
        <w:rPr>
          <w:rFonts w:eastAsia="MS Mincho"/>
          <w:b/>
          <w:lang w:val="en-US" w:eastAsia="ja-JP"/>
        </w:rPr>
        <w:t xml:space="preserve"> would allow synchronized DL but timing adjustment during the active connection will be based on the initial TP/TA estimation.</w:t>
      </w:r>
    </w:p>
    <w:p w14:paraId="2896BD8C" w14:textId="77777777" w:rsidR="009A5E99" w:rsidRPr="004C0981" w:rsidRDefault="009A5E99" w:rsidP="009A5E99">
      <w:pPr>
        <w:spacing w:after="120"/>
        <w:jc w:val="both"/>
        <w:rPr>
          <w:rFonts w:eastAsia="MS Mincho"/>
          <w:b/>
          <w:lang w:val="en-US" w:eastAsia="ja-JP"/>
        </w:rPr>
      </w:pPr>
      <w:r w:rsidRPr="00285308">
        <w:rPr>
          <w:rFonts w:eastAsia="MS Mincho"/>
          <w:b/>
          <w:lang w:val="en-US" w:eastAsia="ja-JP"/>
        </w:rPr>
        <w:t>Observation 2: To apply described setting of the IAB timing would require knowledge of the type of the accessing node at the Donor/parent node to be able to have IAB specific TA adjustment.</w:t>
      </w:r>
      <w:r>
        <w:rPr>
          <w:rFonts w:eastAsia="MS Mincho"/>
          <w:b/>
          <w:lang w:val="en-US" w:eastAsia="ja-JP"/>
        </w:rPr>
        <w:t xml:space="preserve"> It is FFS how to indicate the type of the accessing node to the Donor/parent node.</w:t>
      </w:r>
    </w:p>
    <w:p w14:paraId="32BF4F4F" w14:textId="77777777" w:rsidR="009A5E99" w:rsidRPr="00190FFA" w:rsidRDefault="009A5E99" w:rsidP="009A5E99">
      <w:pPr>
        <w:spacing w:after="120"/>
        <w:jc w:val="both"/>
        <w:rPr>
          <w:rFonts w:eastAsia="MS Mincho"/>
          <w:b/>
          <w:lang w:eastAsia="ja-JP"/>
        </w:rPr>
      </w:pPr>
      <w:r w:rsidRPr="00190FFA">
        <w:rPr>
          <w:rFonts w:eastAsia="MS Mincho"/>
          <w:b/>
          <w:lang w:eastAsia="ja-JP"/>
        </w:rPr>
        <w:t xml:space="preserve">Observation 3: </w:t>
      </w:r>
      <w:r>
        <w:rPr>
          <w:rFonts w:eastAsia="MS Mincho"/>
          <w:b/>
          <w:lang w:eastAsia="ja-JP"/>
        </w:rPr>
        <w:t>Case 7 has the</w:t>
      </w:r>
      <w:r w:rsidRPr="00190FFA">
        <w:rPr>
          <w:rFonts w:eastAsia="MS Mincho"/>
          <w:b/>
          <w:lang w:eastAsia="ja-JP"/>
        </w:rPr>
        <w:t xml:space="preserve"> issue how to adjust the DL timing of the next hop child IAB nodes because of different TA control.</w:t>
      </w:r>
    </w:p>
    <w:p w14:paraId="226E4611" w14:textId="77777777" w:rsidR="009A5E99" w:rsidRPr="00190FFA" w:rsidRDefault="009A5E99" w:rsidP="009A5E99">
      <w:pPr>
        <w:spacing w:after="120"/>
        <w:jc w:val="both"/>
        <w:rPr>
          <w:rFonts w:eastAsia="MS Mincho"/>
          <w:b/>
          <w:lang w:eastAsia="ja-JP"/>
        </w:rPr>
      </w:pPr>
      <w:r>
        <w:rPr>
          <w:rFonts w:eastAsia="MS Mincho"/>
          <w:b/>
          <w:lang w:eastAsia="ja-JP"/>
        </w:rPr>
        <w:t>Observation 4</w:t>
      </w:r>
      <w:r w:rsidRPr="00190FFA">
        <w:rPr>
          <w:rFonts w:eastAsia="MS Mincho"/>
          <w:b/>
          <w:lang w:eastAsia="ja-JP"/>
        </w:rPr>
        <w:t xml:space="preserve">: </w:t>
      </w:r>
      <w:r>
        <w:rPr>
          <w:rFonts w:eastAsia="MS Mincho"/>
          <w:b/>
          <w:lang w:eastAsia="ja-JP"/>
        </w:rPr>
        <w:t>TA on the IAB access link and (child) BH link can have negative values in Case 7.</w:t>
      </w:r>
    </w:p>
    <w:p w14:paraId="631E055E" w14:textId="77777777" w:rsidR="009A5E99" w:rsidRPr="001D321F" w:rsidRDefault="009A5E99" w:rsidP="009A5E99">
      <w:pPr>
        <w:rPr>
          <w:b/>
          <w:lang w:val="en-US"/>
        </w:rPr>
      </w:pPr>
      <w:r>
        <w:rPr>
          <w:b/>
          <w:lang w:val="en-US"/>
        </w:rPr>
        <w:t>Observation 5</w:t>
      </w:r>
      <w:r w:rsidRPr="001D321F">
        <w:rPr>
          <w:b/>
          <w:lang w:val="en-US"/>
        </w:rPr>
        <w:t>: It is FFS how the DL timing can be aligned in a multi-hop IAB scenario applying Case 7 timing principles.</w:t>
      </w:r>
    </w:p>
    <w:p w14:paraId="646D2247" w14:textId="50FC2190" w:rsidR="009A5E99" w:rsidRPr="00901AD6" w:rsidRDefault="009A5E99" w:rsidP="009A5E99">
      <w:pPr>
        <w:spacing w:after="120"/>
        <w:jc w:val="both"/>
        <w:rPr>
          <w:rFonts w:eastAsia="MS Mincho"/>
          <w:b/>
          <w:lang w:val="en-US" w:eastAsia="ja-JP"/>
        </w:rPr>
      </w:pPr>
      <w:r>
        <w:rPr>
          <w:rFonts w:eastAsia="MS Mincho"/>
          <w:b/>
          <w:lang w:val="en-US" w:eastAsia="ja-JP"/>
        </w:rPr>
        <w:t xml:space="preserve">Observation 6: Timing options apart from Case 1 can be considered as options facilitating the usage of SDM/FDM between the links especially with a </w:t>
      </w:r>
      <w:r w:rsidR="00F376AB">
        <w:rPr>
          <w:rFonts w:eastAsia="MS Mincho"/>
          <w:b/>
          <w:lang w:val="en-US" w:eastAsia="ja-JP"/>
        </w:rPr>
        <w:t>single</w:t>
      </w:r>
      <w:r>
        <w:rPr>
          <w:rFonts w:eastAsia="MS Mincho"/>
          <w:b/>
          <w:lang w:val="en-US" w:eastAsia="ja-JP"/>
        </w:rPr>
        <w:t>-panel implementation</w:t>
      </w:r>
      <w:r w:rsidRPr="00901AD6">
        <w:rPr>
          <w:rFonts w:eastAsia="MS Mincho"/>
          <w:b/>
          <w:lang w:val="en-US" w:eastAsia="ja-JP"/>
        </w:rPr>
        <w:t>.</w:t>
      </w:r>
    </w:p>
    <w:p w14:paraId="39F266B2" w14:textId="77777777" w:rsidR="009A5E99" w:rsidRPr="009A5E99" w:rsidRDefault="009A5E99" w:rsidP="009A5E99">
      <w:pPr>
        <w:spacing w:after="120"/>
        <w:jc w:val="both"/>
        <w:rPr>
          <w:rFonts w:eastAsia="MS Mincho"/>
          <w:lang w:val="en-US" w:eastAsia="ja-JP"/>
        </w:rPr>
      </w:pPr>
    </w:p>
    <w:p w14:paraId="76E67726" w14:textId="7C8DDF3B" w:rsidR="00D7787C" w:rsidRDefault="00F3749B" w:rsidP="00A2190A">
      <w:pPr>
        <w:spacing w:after="120"/>
        <w:jc w:val="both"/>
        <w:rPr>
          <w:bCs/>
        </w:rPr>
      </w:pPr>
      <w:r>
        <w:rPr>
          <w:bCs/>
        </w:rPr>
        <w:t>As a summary, following Cases can have specification impacts:</w:t>
      </w:r>
    </w:p>
    <w:p w14:paraId="69B9E739" w14:textId="7055B955" w:rsidR="00F3749B" w:rsidRPr="00F3749B" w:rsidRDefault="00F3749B" w:rsidP="00F3749B">
      <w:pPr>
        <w:pStyle w:val="ListParagraph"/>
        <w:numPr>
          <w:ilvl w:val="0"/>
          <w:numId w:val="44"/>
        </w:numPr>
        <w:spacing w:after="120"/>
        <w:jc w:val="both"/>
        <w:rPr>
          <w:bCs/>
          <w:sz w:val="20"/>
          <w:szCs w:val="20"/>
          <w:lang w:val="en-GB" w:eastAsia="en-US"/>
        </w:rPr>
      </w:pPr>
      <w:r w:rsidRPr="00F3749B">
        <w:rPr>
          <w:bCs/>
          <w:sz w:val="20"/>
          <w:szCs w:val="20"/>
          <w:lang w:val="en-GB" w:eastAsia="en-US"/>
        </w:rPr>
        <w:t>Negative TA: Cases 3,4 and 7</w:t>
      </w:r>
    </w:p>
    <w:p w14:paraId="6608611C" w14:textId="5C5F75DD" w:rsidR="00F3749B" w:rsidRPr="007C4DA2" w:rsidRDefault="00F3749B" w:rsidP="007C4DA2">
      <w:pPr>
        <w:pStyle w:val="ListParagraph"/>
        <w:numPr>
          <w:ilvl w:val="0"/>
          <w:numId w:val="44"/>
        </w:numPr>
        <w:spacing w:after="240"/>
        <w:ind w:left="714" w:hanging="357"/>
        <w:jc w:val="both"/>
        <w:rPr>
          <w:bCs/>
          <w:sz w:val="20"/>
          <w:szCs w:val="20"/>
          <w:lang w:val="en-GB" w:eastAsia="en-US"/>
        </w:rPr>
      </w:pPr>
      <w:r w:rsidRPr="00F3749B">
        <w:rPr>
          <w:bCs/>
          <w:sz w:val="20"/>
          <w:szCs w:val="20"/>
          <w:lang w:val="en-GB" w:eastAsia="en-US"/>
        </w:rPr>
        <w:t>Setting of the DL timing at child IAB nodes for synchronized operation: Cases 6 and 7</w:t>
      </w:r>
    </w:p>
    <w:p w14:paraId="5E8BCBE0" w14:textId="75E179BE" w:rsidR="00F3749B" w:rsidRPr="00F3749B" w:rsidRDefault="00F3749B" w:rsidP="00A2190A">
      <w:pPr>
        <w:spacing w:after="120"/>
        <w:jc w:val="both"/>
        <w:rPr>
          <w:b/>
          <w:bCs/>
          <w:lang w:val="en-US"/>
        </w:rPr>
      </w:pPr>
      <w:r w:rsidRPr="00F3749B">
        <w:rPr>
          <w:b/>
          <w:bCs/>
          <w:lang w:val="en-US"/>
        </w:rPr>
        <w:t>Proposal: RAN1 is asked to clarify potential specification impacts for cases 3,4,6 and 7.</w:t>
      </w:r>
    </w:p>
    <w:p w14:paraId="5B66C320" w14:textId="77777777" w:rsidR="00F3749B" w:rsidRPr="00F3749B" w:rsidRDefault="00F3749B" w:rsidP="00A2190A">
      <w:pPr>
        <w:spacing w:after="120"/>
        <w:jc w:val="both"/>
        <w:rPr>
          <w:bCs/>
          <w:lang w:val="en-US"/>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49F05495" w:rsidR="00055676" w:rsidRDefault="00805093" w:rsidP="00AC276B">
      <w:pPr>
        <w:numPr>
          <w:ilvl w:val="0"/>
          <w:numId w:val="1"/>
        </w:numPr>
        <w:rPr>
          <w:sz w:val="18"/>
        </w:rPr>
      </w:pPr>
      <w:hyperlink r:id="rId16" w:history="1">
        <w:r w:rsidR="00217A82" w:rsidRPr="00F33C87">
          <w:rPr>
            <w:rStyle w:val="Hyperlink"/>
            <w:sz w:val="18"/>
            <w:lang w:eastAsia="x-none"/>
          </w:rPr>
          <w:t>RP_181349</w:t>
        </w:r>
      </w:hyperlink>
      <w:r w:rsidR="00217A82">
        <w:rPr>
          <w:sz w:val="18"/>
          <w:lang w:eastAsia="zh-CN"/>
        </w:rPr>
        <w:t>,</w:t>
      </w:r>
      <w:r w:rsidR="00055676" w:rsidRPr="00013455">
        <w:rPr>
          <w:sz w:val="18"/>
          <w:lang w:eastAsia="zh-CN"/>
        </w:rPr>
        <w:t xml:space="preserve"> </w:t>
      </w:r>
      <w:r w:rsidR="00D060FF" w:rsidRPr="00013455">
        <w:rPr>
          <w:sz w:val="18"/>
          <w:lang w:eastAsia="zh-CN"/>
        </w:rPr>
        <w:t>“</w:t>
      </w:r>
      <w:r w:rsidR="00AC276B"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sidR="00AC276B">
        <w:rPr>
          <w:sz w:val="18"/>
          <w:lang w:eastAsia="zh-CN"/>
        </w:rPr>
        <w:t>AT&amp;T, Qualcomm, Samsung</w:t>
      </w:r>
      <w:r w:rsidR="00217A82">
        <w:rPr>
          <w:sz w:val="18"/>
          <w:lang w:eastAsia="zh-CN"/>
        </w:rPr>
        <w:t>, KDDI</w:t>
      </w:r>
    </w:p>
    <w:p w14:paraId="17BA1EE6" w14:textId="20BF7ADC" w:rsidR="00F668FD" w:rsidRPr="006C524F" w:rsidRDefault="00F668FD" w:rsidP="00D74E86">
      <w:pPr>
        <w:numPr>
          <w:ilvl w:val="0"/>
          <w:numId w:val="1"/>
        </w:numPr>
        <w:rPr>
          <w:sz w:val="18"/>
        </w:rPr>
      </w:pPr>
      <w:bookmarkStart w:id="3" w:name="_Ref525649415"/>
      <w:r w:rsidRPr="00F668FD">
        <w:rPr>
          <w:i/>
          <w:sz w:val="18"/>
        </w:rPr>
        <w:t>Draft Report of 3GPP TSG RAN WG1 #93 v0.2.0</w:t>
      </w:r>
      <w:bookmarkEnd w:id="3"/>
      <w:r>
        <w:rPr>
          <w:i/>
          <w:sz w:val="18"/>
        </w:rPr>
        <w:t xml:space="preserve"> </w:t>
      </w:r>
    </w:p>
    <w:p w14:paraId="6CD908A2" w14:textId="1EC016A7" w:rsidR="006C524F" w:rsidRPr="006C524F" w:rsidRDefault="006C524F" w:rsidP="006C524F">
      <w:pPr>
        <w:numPr>
          <w:ilvl w:val="0"/>
          <w:numId w:val="1"/>
        </w:numPr>
        <w:rPr>
          <w:sz w:val="18"/>
        </w:rPr>
      </w:pPr>
      <w:bookmarkStart w:id="4" w:name="_Ref525649429"/>
      <w:r w:rsidRPr="006C524F">
        <w:rPr>
          <w:i/>
          <w:sz w:val="18"/>
        </w:rPr>
        <w:t>Draft Report of 3GPP TSG RAN WG1 #94 v0.1.0</w:t>
      </w:r>
      <w:bookmarkEnd w:id="4"/>
    </w:p>
    <w:p w14:paraId="0994A867" w14:textId="37994896" w:rsidR="006C524F" w:rsidRDefault="006C524F" w:rsidP="006C524F">
      <w:pPr>
        <w:numPr>
          <w:ilvl w:val="0"/>
          <w:numId w:val="1"/>
        </w:numPr>
        <w:rPr>
          <w:sz w:val="18"/>
        </w:rPr>
      </w:pPr>
      <w:bookmarkStart w:id="5" w:name="_Ref525649815"/>
      <w:r w:rsidRPr="006C524F">
        <w:rPr>
          <w:sz w:val="18"/>
        </w:rPr>
        <w:t>R1-1808582</w:t>
      </w:r>
      <w:r>
        <w:rPr>
          <w:sz w:val="18"/>
        </w:rPr>
        <w:t>, “</w:t>
      </w:r>
      <w:r w:rsidRPr="006C524F">
        <w:rPr>
          <w:i/>
          <w:sz w:val="18"/>
        </w:rPr>
        <w:t>IAB timing</w:t>
      </w:r>
      <w:r>
        <w:rPr>
          <w:sz w:val="18"/>
        </w:rPr>
        <w:t>”, Nokia, Nokia Shanghai Bell</w:t>
      </w:r>
      <w:bookmarkEnd w:id="5"/>
    </w:p>
    <w:p w14:paraId="0E827C09" w14:textId="73A0653B" w:rsidR="005303CF" w:rsidRPr="00D74E86" w:rsidRDefault="007424EF" w:rsidP="007424EF">
      <w:pPr>
        <w:numPr>
          <w:ilvl w:val="0"/>
          <w:numId w:val="1"/>
        </w:numPr>
        <w:rPr>
          <w:sz w:val="18"/>
        </w:rPr>
      </w:pPr>
      <w:bookmarkStart w:id="6" w:name="_Ref525712077"/>
      <w:r w:rsidRPr="007424EF">
        <w:rPr>
          <w:sz w:val="18"/>
        </w:rPr>
        <w:t>R1-1810680</w:t>
      </w:r>
      <w:r w:rsidR="005303CF">
        <w:rPr>
          <w:sz w:val="18"/>
        </w:rPr>
        <w:t>, “</w:t>
      </w:r>
      <w:r w:rsidR="005303CF" w:rsidRPr="005303CF">
        <w:rPr>
          <w:i/>
          <w:sz w:val="18"/>
        </w:rPr>
        <w:t>Considerations of single panel vs. multi-panel operation for IAB node</w:t>
      </w:r>
      <w:r w:rsidR="005303CF">
        <w:rPr>
          <w:sz w:val="18"/>
        </w:rPr>
        <w:t>”, Nokia, Nokia Shanghai Bell</w:t>
      </w:r>
      <w:bookmarkEnd w:id="6"/>
    </w:p>
    <w:sectPr w:rsidR="005303CF" w:rsidRPr="00D74E86" w:rsidSect="000131D1">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CE1B8" w14:textId="77777777" w:rsidR="00E84409" w:rsidRDefault="00E84409">
      <w:r>
        <w:separator/>
      </w:r>
    </w:p>
  </w:endnote>
  <w:endnote w:type="continuationSeparator" w:id="0">
    <w:p w14:paraId="537375E1" w14:textId="77777777" w:rsidR="00E84409" w:rsidRDefault="00E84409">
      <w:r>
        <w:continuationSeparator/>
      </w:r>
    </w:p>
  </w:endnote>
  <w:endnote w:type="continuationNotice" w:id="1">
    <w:p w14:paraId="74089903" w14:textId="77777777" w:rsidR="00E84409" w:rsidRDefault="00E84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8C7A67" w:rsidRDefault="008C7A6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8C7A67" w:rsidRPr="00B75603" w:rsidRDefault="008C7A6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8C7A67" w:rsidRPr="00B75603" w:rsidRDefault="008C7A6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8CC27" w14:textId="77777777" w:rsidR="00E84409" w:rsidRDefault="00E84409">
      <w:r>
        <w:separator/>
      </w:r>
    </w:p>
  </w:footnote>
  <w:footnote w:type="continuationSeparator" w:id="0">
    <w:p w14:paraId="65520925" w14:textId="77777777" w:rsidR="00E84409" w:rsidRDefault="00E84409">
      <w:r>
        <w:continuationSeparator/>
      </w:r>
    </w:p>
  </w:footnote>
  <w:footnote w:type="continuationNotice" w:id="1">
    <w:p w14:paraId="04841349" w14:textId="77777777" w:rsidR="00E84409" w:rsidRDefault="00E844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27430E"/>
    <w:multiLevelType w:val="hybridMultilevel"/>
    <w:tmpl w:val="375C4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5"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8" w15:restartNumberingAfterBreak="0">
    <w:nsid w:val="5E3609C9"/>
    <w:multiLevelType w:val="hybridMultilevel"/>
    <w:tmpl w:val="9BDCBF1E"/>
    <w:lvl w:ilvl="0" w:tplc="04090017">
      <w:start w:val="1"/>
      <w:numFmt w:val="lowerLetter"/>
      <w:lvlText w:val="%1)"/>
      <w:lvlJc w:val="left"/>
      <w:pPr>
        <w:ind w:left="720" w:hanging="360"/>
      </w:pPr>
    </w:lvl>
    <w:lvl w:ilvl="1" w:tplc="E2429AC2">
      <w:start w:val="1"/>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0" w15:restartNumberingAfterBreak="0">
    <w:nsid w:val="67C547E8"/>
    <w:multiLevelType w:val="hybridMultilevel"/>
    <w:tmpl w:val="C0FC1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20F00"/>
    <w:multiLevelType w:val="hybridMultilevel"/>
    <w:tmpl w:val="A0E88D6E"/>
    <w:lvl w:ilvl="0" w:tplc="0A1E87F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7"/>
  </w:num>
  <w:num w:numId="2">
    <w:abstractNumId w:val="33"/>
  </w:num>
  <w:num w:numId="3">
    <w:abstractNumId w:val="5"/>
  </w:num>
  <w:num w:numId="4">
    <w:abstractNumId w:val="32"/>
  </w:num>
  <w:num w:numId="5">
    <w:abstractNumId w:val="22"/>
  </w:num>
  <w:num w:numId="6">
    <w:abstractNumId w:val="43"/>
  </w:num>
  <w:num w:numId="7">
    <w:abstractNumId w:val="2"/>
  </w:num>
  <w:num w:numId="8">
    <w:abstractNumId w:val="24"/>
  </w:num>
  <w:num w:numId="9">
    <w:abstractNumId w:val="27"/>
  </w:num>
  <w:num w:numId="10">
    <w:abstractNumId w:val="7"/>
  </w:num>
  <w:num w:numId="11">
    <w:abstractNumId w:val="25"/>
  </w:num>
  <w:num w:numId="12">
    <w:abstractNumId w:val="20"/>
  </w:num>
  <w:num w:numId="13">
    <w:abstractNumId w:val="21"/>
  </w:num>
  <w:num w:numId="14">
    <w:abstractNumId w:val="28"/>
  </w:num>
  <w:num w:numId="15">
    <w:abstractNumId w:val="16"/>
  </w:num>
  <w:num w:numId="16">
    <w:abstractNumId w:val="9"/>
  </w:num>
  <w:num w:numId="17">
    <w:abstractNumId w:val="30"/>
  </w:num>
  <w:num w:numId="18">
    <w:abstractNumId w:val="35"/>
  </w:num>
  <w:num w:numId="19">
    <w:abstractNumId w:val="26"/>
  </w:num>
  <w:num w:numId="20">
    <w:abstractNumId w:val="31"/>
  </w:num>
  <w:num w:numId="21">
    <w:abstractNumId w:val="29"/>
  </w:num>
  <w:num w:numId="22">
    <w:abstractNumId w:val="18"/>
  </w:num>
  <w:num w:numId="23">
    <w:abstractNumId w:val="39"/>
  </w:num>
  <w:num w:numId="24">
    <w:abstractNumId w:val="23"/>
  </w:num>
  <w:num w:numId="25">
    <w:abstractNumId w:val="14"/>
  </w:num>
  <w:num w:numId="26">
    <w:abstractNumId w:val="36"/>
  </w:num>
  <w:num w:numId="27">
    <w:abstractNumId w:val="8"/>
  </w:num>
  <w:num w:numId="28">
    <w:abstractNumId w:val="19"/>
  </w:num>
  <w:num w:numId="29">
    <w:abstractNumId w:val="44"/>
  </w:num>
  <w:num w:numId="30">
    <w:abstractNumId w:val="34"/>
  </w:num>
  <w:num w:numId="31">
    <w:abstractNumId w:val="4"/>
  </w:num>
  <w:num w:numId="32">
    <w:abstractNumId w:val="37"/>
  </w:num>
  <w:num w:numId="33">
    <w:abstractNumId w:val="3"/>
  </w:num>
  <w:num w:numId="34">
    <w:abstractNumId w:val="13"/>
  </w:num>
  <w:num w:numId="35">
    <w:abstractNumId w:val="12"/>
  </w:num>
  <w:num w:numId="36">
    <w:abstractNumId w:val="0"/>
  </w:num>
  <w:num w:numId="37">
    <w:abstractNumId w:val="11"/>
  </w:num>
  <w:num w:numId="38">
    <w:abstractNumId w:val="15"/>
  </w:num>
  <w:num w:numId="39">
    <w:abstractNumId w:val="41"/>
  </w:num>
  <w:num w:numId="40">
    <w:abstractNumId w:val="10"/>
  </w:num>
  <w:num w:numId="41">
    <w:abstractNumId w:val="40"/>
  </w:num>
  <w:num w:numId="42">
    <w:abstractNumId w:val="42"/>
  </w:num>
  <w:num w:numId="43">
    <w:abstractNumId w:val="1"/>
  </w:num>
  <w:num w:numId="44">
    <w:abstractNumId w:val="6"/>
  </w:num>
  <w:num w:numId="45">
    <w:abstractNumId w:val="1"/>
  </w:num>
  <w:num w:numId="46">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D68"/>
    <w:rsid w:val="00014F35"/>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08C"/>
    <w:rsid w:val="0009556A"/>
    <w:rsid w:val="00095A80"/>
    <w:rsid w:val="00096A43"/>
    <w:rsid w:val="000973C8"/>
    <w:rsid w:val="000973E1"/>
    <w:rsid w:val="0009774C"/>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347C"/>
    <w:rsid w:val="000C4AEB"/>
    <w:rsid w:val="000C501D"/>
    <w:rsid w:val="000C5B1F"/>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675D8"/>
    <w:rsid w:val="00170205"/>
    <w:rsid w:val="00170A50"/>
    <w:rsid w:val="0017157A"/>
    <w:rsid w:val="001718FF"/>
    <w:rsid w:val="00171F0C"/>
    <w:rsid w:val="00174FFD"/>
    <w:rsid w:val="001759CA"/>
    <w:rsid w:val="00176E51"/>
    <w:rsid w:val="0017726A"/>
    <w:rsid w:val="00177B88"/>
    <w:rsid w:val="00177DD3"/>
    <w:rsid w:val="00180278"/>
    <w:rsid w:val="00181327"/>
    <w:rsid w:val="001818A7"/>
    <w:rsid w:val="00182725"/>
    <w:rsid w:val="001829C8"/>
    <w:rsid w:val="00182CA0"/>
    <w:rsid w:val="00183FB0"/>
    <w:rsid w:val="00184098"/>
    <w:rsid w:val="00185D8A"/>
    <w:rsid w:val="00186904"/>
    <w:rsid w:val="00186B0A"/>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0BC6"/>
    <w:rsid w:val="001C18A9"/>
    <w:rsid w:val="001C226F"/>
    <w:rsid w:val="001C4130"/>
    <w:rsid w:val="001C52F3"/>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1791"/>
    <w:rsid w:val="001E287E"/>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692F"/>
    <w:rsid w:val="001F7599"/>
    <w:rsid w:val="00204663"/>
    <w:rsid w:val="00204B3A"/>
    <w:rsid w:val="00204E26"/>
    <w:rsid w:val="0020535A"/>
    <w:rsid w:val="00205F67"/>
    <w:rsid w:val="00206955"/>
    <w:rsid w:val="00210309"/>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2AE0"/>
    <w:rsid w:val="002632DF"/>
    <w:rsid w:val="0026400A"/>
    <w:rsid w:val="002640BA"/>
    <w:rsid w:val="00264CF2"/>
    <w:rsid w:val="00266462"/>
    <w:rsid w:val="00267587"/>
    <w:rsid w:val="00270822"/>
    <w:rsid w:val="00271589"/>
    <w:rsid w:val="00273177"/>
    <w:rsid w:val="00275074"/>
    <w:rsid w:val="002763E9"/>
    <w:rsid w:val="00276736"/>
    <w:rsid w:val="00281D1C"/>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38F8"/>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536A"/>
    <w:rsid w:val="00356275"/>
    <w:rsid w:val="003569B7"/>
    <w:rsid w:val="00356B54"/>
    <w:rsid w:val="00356BE8"/>
    <w:rsid w:val="00356C0B"/>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51C9"/>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4B37"/>
    <w:rsid w:val="00396EAE"/>
    <w:rsid w:val="00397AB6"/>
    <w:rsid w:val="00397ACA"/>
    <w:rsid w:val="003A10C3"/>
    <w:rsid w:val="003A1F6B"/>
    <w:rsid w:val="003A597F"/>
    <w:rsid w:val="003A71A8"/>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D4D"/>
    <w:rsid w:val="003C0DA2"/>
    <w:rsid w:val="003C0DBA"/>
    <w:rsid w:val="003C1A18"/>
    <w:rsid w:val="003C3261"/>
    <w:rsid w:val="003C5A08"/>
    <w:rsid w:val="003C5C41"/>
    <w:rsid w:val="003C7461"/>
    <w:rsid w:val="003D0788"/>
    <w:rsid w:val="003D0E0F"/>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2596"/>
    <w:rsid w:val="003E2A2D"/>
    <w:rsid w:val="003E2EEE"/>
    <w:rsid w:val="003E40BD"/>
    <w:rsid w:val="003E473F"/>
    <w:rsid w:val="003E521F"/>
    <w:rsid w:val="003E64A9"/>
    <w:rsid w:val="003E7002"/>
    <w:rsid w:val="003E7905"/>
    <w:rsid w:val="003F0336"/>
    <w:rsid w:val="003F2147"/>
    <w:rsid w:val="003F4488"/>
    <w:rsid w:val="003F53EE"/>
    <w:rsid w:val="003F5547"/>
    <w:rsid w:val="003F5C40"/>
    <w:rsid w:val="003F6E12"/>
    <w:rsid w:val="003F75ED"/>
    <w:rsid w:val="004002B7"/>
    <w:rsid w:val="00400F31"/>
    <w:rsid w:val="004012AE"/>
    <w:rsid w:val="0040130A"/>
    <w:rsid w:val="00402295"/>
    <w:rsid w:val="00406B4D"/>
    <w:rsid w:val="00407F6A"/>
    <w:rsid w:val="0041443C"/>
    <w:rsid w:val="004154F7"/>
    <w:rsid w:val="00416D44"/>
    <w:rsid w:val="004176FF"/>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751F"/>
    <w:rsid w:val="00440993"/>
    <w:rsid w:val="00440FED"/>
    <w:rsid w:val="00441194"/>
    <w:rsid w:val="00441B0A"/>
    <w:rsid w:val="00441B92"/>
    <w:rsid w:val="00442607"/>
    <w:rsid w:val="0044474B"/>
    <w:rsid w:val="00445FF7"/>
    <w:rsid w:val="00447827"/>
    <w:rsid w:val="004501CE"/>
    <w:rsid w:val="0045097F"/>
    <w:rsid w:val="00453341"/>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6DAE"/>
    <w:rsid w:val="00486FF4"/>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5E52"/>
    <w:rsid w:val="004B7455"/>
    <w:rsid w:val="004B74FF"/>
    <w:rsid w:val="004B787C"/>
    <w:rsid w:val="004B7CE4"/>
    <w:rsid w:val="004C0066"/>
    <w:rsid w:val="004C0401"/>
    <w:rsid w:val="004C0981"/>
    <w:rsid w:val="004C0C49"/>
    <w:rsid w:val="004C183D"/>
    <w:rsid w:val="004C2669"/>
    <w:rsid w:val="004C396E"/>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EE8"/>
    <w:rsid w:val="00535F84"/>
    <w:rsid w:val="0053662A"/>
    <w:rsid w:val="005375FE"/>
    <w:rsid w:val="00540541"/>
    <w:rsid w:val="00540B5A"/>
    <w:rsid w:val="00541726"/>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309"/>
    <w:rsid w:val="00554E4B"/>
    <w:rsid w:val="0055531C"/>
    <w:rsid w:val="00555F67"/>
    <w:rsid w:val="00556605"/>
    <w:rsid w:val="00556CC5"/>
    <w:rsid w:val="005601AC"/>
    <w:rsid w:val="005601F5"/>
    <w:rsid w:val="005606A4"/>
    <w:rsid w:val="005607B8"/>
    <w:rsid w:val="00560CF5"/>
    <w:rsid w:val="00562330"/>
    <w:rsid w:val="0056272D"/>
    <w:rsid w:val="00562BAB"/>
    <w:rsid w:val="0056308E"/>
    <w:rsid w:val="005638C1"/>
    <w:rsid w:val="0056415C"/>
    <w:rsid w:val="005649BF"/>
    <w:rsid w:val="005650ED"/>
    <w:rsid w:val="00565869"/>
    <w:rsid w:val="005660F0"/>
    <w:rsid w:val="00567415"/>
    <w:rsid w:val="00567610"/>
    <w:rsid w:val="00570D9F"/>
    <w:rsid w:val="00571CA8"/>
    <w:rsid w:val="005734C0"/>
    <w:rsid w:val="00573E71"/>
    <w:rsid w:val="00574BA6"/>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1730"/>
    <w:rsid w:val="005A2D6D"/>
    <w:rsid w:val="005A34D5"/>
    <w:rsid w:val="005A4904"/>
    <w:rsid w:val="005A4959"/>
    <w:rsid w:val="005A515A"/>
    <w:rsid w:val="005A6120"/>
    <w:rsid w:val="005A6BC4"/>
    <w:rsid w:val="005A704D"/>
    <w:rsid w:val="005B1FF6"/>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CEB"/>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2913"/>
    <w:rsid w:val="006433BD"/>
    <w:rsid w:val="00643784"/>
    <w:rsid w:val="00644186"/>
    <w:rsid w:val="00644A21"/>
    <w:rsid w:val="006452EE"/>
    <w:rsid w:val="00645C9F"/>
    <w:rsid w:val="00646305"/>
    <w:rsid w:val="006463D6"/>
    <w:rsid w:val="00646A6C"/>
    <w:rsid w:val="00646F20"/>
    <w:rsid w:val="006475E6"/>
    <w:rsid w:val="006508B9"/>
    <w:rsid w:val="00650CA1"/>
    <w:rsid w:val="0065150E"/>
    <w:rsid w:val="00651854"/>
    <w:rsid w:val="006539E8"/>
    <w:rsid w:val="006561A2"/>
    <w:rsid w:val="006563F3"/>
    <w:rsid w:val="006565D8"/>
    <w:rsid w:val="00656B96"/>
    <w:rsid w:val="00656CF4"/>
    <w:rsid w:val="0065736B"/>
    <w:rsid w:val="00657AE5"/>
    <w:rsid w:val="006619B0"/>
    <w:rsid w:val="00661B9B"/>
    <w:rsid w:val="00662012"/>
    <w:rsid w:val="00662543"/>
    <w:rsid w:val="006626D0"/>
    <w:rsid w:val="00664E8C"/>
    <w:rsid w:val="006650D3"/>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41AE"/>
    <w:rsid w:val="006A4856"/>
    <w:rsid w:val="006A530D"/>
    <w:rsid w:val="006A564B"/>
    <w:rsid w:val="006A5CBF"/>
    <w:rsid w:val="006A7EE9"/>
    <w:rsid w:val="006B0386"/>
    <w:rsid w:val="006B08CF"/>
    <w:rsid w:val="006B0B90"/>
    <w:rsid w:val="006B1545"/>
    <w:rsid w:val="006B2DA7"/>
    <w:rsid w:val="006B2F4D"/>
    <w:rsid w:val="006B3682"/>
    <w:rsid w:val="006B48CB"/>
    <w:rsid w:val="006B4FE8"/>
    <w:rsid w:val="006B715C"/>
    <w:rsid w:val="006B7CE0"/>
    <w:rsid w:val="006C08C5"/>
    <w:rsid w:val="006C1445"/>
    <w:rsid w:val="006C2A59"/>
    <w:rsid w:val="006C3959"/>
    <w:rsid w:val="006C4FC1"/>
    <w:rsid w:val="006C51A5"/>
    <w:rsid w:val="006C524F"/>
    <w:rsid w:val="006C529D"/>
    <w:rsid w:val="006C5670"/>
    <w:rsid w:val="006C58B2"/>
    <w:rsid w:val="006C65A1"/>
    <w:rsid w:val="006C7B01"/>
    <w:rsid w:val="006C7CC9"/>
    <w:rsid w:val="006C7CFC"/>
    <w:rsid w:val="006D0E6B"/>
    <w:rsid w:val="006D1073"/>
    <w:rsid w:val="006D2146"/>
    <w:rsid w:val="006D2D0B"/>
    <w:rsid w:val="006D632E"/>
    <w:rsid w:val="006D6444"/>
    <w:rsid w:val="006D668E"/>
    <w:rsid w:val="006E094A"/>
    <w:rsid w:val="006E12B1"/>
    <w:rsid w:val="006E13D1"/>
    <w:rsid w:val="006E1A08"/>
    <w:rsid w:val="006E26D3"/>
    <w:rsid w:val="006E283E"/>
    <w:rsid w:val="006E2A4B"/>
    <w:rsid w:val="006E4D0C"/>
    <w:rsid w:val="006E4D1B"/>
    <w:rsid w:val="006E5B78"/>
    <w:rsid w:val="006E6BA3"/>
    <w:rsid w:val="006F01EB"/>
    <w:rsid w:val="006F1116"/>
    <w:rsid w:val="006F3196"/>
    <w:rsid w:val="006F3C54"/>
    <w:rsid w:val="006F5E64"/>
    <w:rsid w:val="006F60DE"/>
    <w:rsid w:val="006F77FE"/>
    <w:rsid w:val="006F7914"/>
    <w:rsid w:val="006F7E46"/>
    <w:rsid w:val="00700AB4"/>
    <w:rsid w:val="00700FCA"/>
    <w:rsid w:val="007012A7"/>
    <w:rsid w:val="00701645"/>
    <w:rsid w:val="007022F2"/>
    <w:rsid w:val="00702C80"/>
    <w:rsid w:val="00702D5A"/>
    <w:rsid w:val="00702EF7"/>
    <w:rsid w:val="00703989"/>
    <w:rsid w:val="007042E9"/>
    <w:rsid w:val="0070687A"/>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0A68"/>
    <w:rsid w:val="0073124A"/>
    <w:rsid w:val="00731B79"/>
    <w:rsid w:val="00731EFA"/>
    <w:rsid w:val="007331CE"/>
    <w:rsid w:val="00733893"/>
    <w:rsid w:val="00734A05"/>
    <w:rsid w:val="00735C6F"/>
    <w:rsid w:val="007408D5"/>
    <w:rsid w:val="007424EF"/>
    <w:rsid w:val="00742B44"/>
    <w:rsid w:val="007440FE"/>
    <w:rsid w:val="0074655A"/>
    <w:rsid w:val="007469B7"/>
    <w:rsid w:val="00746C78"/>
    <w:rsid w:val="00751B94"/>
    <w:rsid w:val="00753BB5"/>
    <w:rsid w:val="00756832"/>
    <w:rsid w:val="007568FC"/>
    <w:rsid w:val="007626D0"/>
    <w:rsid w:val="007651CA"/>
    <w:rsid w:val="00767269"/>
    <w:rsid w:val="00767519"/>
    <w:rsid w:val="00767EE3"/>
    <w:rsid w:val="007704E1"/>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1DC7"/>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5BC"/>
    <w:rsid w:val="007E5AC2"/>
    <w:rsid w:val="007E69FB"/>
    <w:rsid w:val="007E79C5"/>
    <w:rsid w:val="007F0036"/>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2BFF"/>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71C8"/>
    <w:rsid w:val="008C7A67"/>
    <w:rsid w:val="008D167D"/>
    <w:rsid w:val="008D261F"/>
    <w:rsid w:val="008D492A"/>
    <w:rsid w:val="008D4B58"/>
    <w:rsid w:val="008D4B8A"/>
    <w:rsid w:val="008D4D01"/>
    <w:rsid w:val="008D6541"/>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47C6"/>
    <w:rsid w:val="008F4CF7"/>
    <w:rsid w:val="008F4EDF"/>
    <w:rsid w:val="008F5948"/>
    <w:rsid w:val="008F7E83"/>
    <w:rsid w:val="00900093"/>
    <w:rsid w:val="009006A2"/>
    <w:rsid w:val="0090102B"/>
    <w:rsid w:val="00901448"/>
    <w:rsid w:val="00901AD6"/>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3BD"/>
    <w:rsid w:val="00922DC3"/>
    <w:rsid w:val="00923AFA"/>
    <w:rsid w:val="00924627"/>
    <w:rsid w:val="009250A8"/>
    <w:rsid w:val="009255BA"/>
    <w:rsid w:val="00925BE6"/>
    <w:rsid w:val="0092658D"/>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36C"/>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CF4"/>
    <w:rsid w:val="009A1169"/>
    <w:rsid w:val="009A1AAC"/>
    <w:rsid w:val="009A3789"/>
    <w:rsid w:val="009A4860"/>
    <w:rsid w:val="009A54F4"/>
    <w:rsid w:val="009A5E99"/>
    <w:rsid w:val="009A6919"/>
    <w:rsid w:val="009A6AC7"/>
    <w:rsid w:val="009A6CC2"/>
    <w:rsid w:val="009A7831"/>
    <w:rsid w:val="009B0408"/>
    <w:rsid w:val="009B0843"/>
    <w:rsid w:val="009B112A"/>
    <w:rsid w:val="009B1E47"/>
    <w:rsid w:val="009B20D0"/>
    <w:rsid w:val="009B2CED"/>
    <w:rsid w:val="009B345D"/>
    <w:rsid w:val="009B429F"/>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CD1"/>
    <w:rsid w:val="009E4AB3"/>
    <w:rsid w:val="009E5AF5"/>
    <w:rsid w:val="009E5EB5"/>
    <w:rsid w:val="009E74F0"/>
    <w:rsid w:val="009F0768"/>
    <w:rsid w:val="009F7867"/>
    <w:rsid w:val="009F7D66"/>
    <w:rsid w:val="00A00BD2"/>
    <w:rsid w:val="00A00E56"/>
    <w:rsid w:val="00A01C99"/>
    <w:rsid w:val="00A02710"/>
    <w:rsid w:val="00A027F3"/>
    <w:rsid w:val="00A02FAD"/>
    <w:rsid w:val="00A03978"/>
    <w:rsid w:val="00A05DF3"/>
    <w:rsid w:val="00A05F1A"/>
    <w:rsid w:val="00A0670C"/>
    <w:rsid w:val="00A0689F"/>
    <w:rsid w:val="00A07759"/>
    <w:rsid w:val="00A07E08"/>
    <w:rsid w:val="00A12798"/>
    <w:rsid w:val="00A153BE"/>
    <w:rsid w:val="00A15DEE"/>
    <w:rsid w:val="00A15EB2"/>
    <w:rsid w:val="00A167B5"/>
    <w:rsid w:val="00A168A6"/>
    <w:rsid w:val="00A16DBE"/>
    <w:rsid w:val="00A17159"/>
    <w:rsid w:val="00A17C4F"/>
    <w:rsid w:val="00A20653"/>
    <w:rsid w:val="00A20A39"/>
    <w:rsid w:val="00A21013"/>
    <w:rsid w:val="00A2190A"/>
    <w:rsid w:val="00A22681"/>
    <w:rsid w:val="00A238BD"/>
    <w:rsid w:val="00A23DA4"/>
    <w:rsid w:val="00A243E4"/>
    <w:rsid w:val="00A2459D"/>
    <w:rsid w:val="00A24E23"/>
    <w:rsid w:val="00A25F05"/>
    <w:rsid w:val="00A264BE"/>
    <w:rsid w:val="00A311AE"/>
    <w:rsid w:val="00A312A6"/>
    <w:rsid w:val="00A3130E"/>
    <w:rsid w:val="00A324CF"/>
    <w:rsid w:val="00A32E8B"/>
    <w:rsid w:val="00A32ED6"/>
    <w:rsid w:val="00A344A5"/>
    <w:rsid w:val="00A346C3"/>
    <w:rsid w:val="00A34ACA"/>
    <w:rsid w:val="00A42D07"/>
    <w:rsid w:val="00A450C0"/>
    <w:rsid w:val="00A45468"/>
    <w:rsid w:val="00A455F8"/>
    <w:rsid w:val="00A4791B"/>
    <w:rsid w:val="00A50A48"/>
    <w:rsid w:val="00A51242"/>
    <w:rsid w:val="00A5131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354E"/>
    <w:rsid w:val="00A73790"/>
    <w:rsid w:val="00A73917"/>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2C39"/>
    <w:rsid w:val="00B52E62"/>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223"/>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04A"/>
    <w:rsid w:val="00BD598A"/>
    <w:rsid w:val="00BD5D21"/>
    <w:rsid w:val="00BD75B4"/>
    <w:rsid w:val="00BD7BFE"/>
    <w:rsid w:val="00BD7D14"/>
    <w:rsid w:val="00BE02B4"/>
    <w:rsid w:val="00BE0A4E"/>
    <w:rsid w:val="00BE1553"/>
    <w:rsid w:val="00BE19DC"/>
    <w:rsid w:val="00BE2010"/>
    <w:rsid w:val="00BE41E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412"/>
    <w:rsid w:val="00C00ED8"/>
    <w:rsid w:val="00C03309"/>
    <w:rsid w:val="00C03452"/>
    <w:rsid w:val="00C067D5"/>
    <w:rsid w:val="00C072FE"/>
    <w:rsid w:val="00C12E39"/>
    <w:rsid w:val="00C13DA5"/>
    <w:rsid w:val="00C14164"/>
    <w:rsid w:val="00C15D8E"/>
    <w:rsid w:val="00C17012"/>
    <w:rsid w:val="00C178FB"/>
    <w:rsid w:val="00C17FDC"/>
    <w:rsid w:val="00C204AA"/>
    <w:rsid w:val="00C22B28"/>
    <w:rsid w:val="00C22B5A"/>
    <w:rsid w:val="00C23E6D"/>
    <w:rsid w:val="00C247BF"/>
    <w:rsid w:val="00C257B7"/>
    <w:rsid w:val="00C27265"/>
    <w:rsid w:val="00C272E8"/>
    <w:rsid w:val="00C311EC"/>
    <w:rsid w:val="00C33359"/>
    <w:rsid w:val="00C348D6"/>
    <w:rsid w:val="00C365E7"/>
    <w:rsid w:val="00C36E34"/>
    <w:rsid w:val="00C37806"/>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542D"/>
    <w:rsid w:val="00C75F2F"/>
    <w:rsid w:val="00C75FEE"/>
    <w:rsid w:val="00C76F1D"/>
    <w:rsid w:val="00C77D26"/>
    <w:rsid w:val="00C80BDF"/>
    <w:rsid w:val="00C8372C"/>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B90"/>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7DA"/>
    <w:rsid w:val="00CD3CBE"/>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A9C"/>
    <w:rsid w:val="00D65D78"/>
    <w:rsid w:val="00D66727"/>
    <w:rsid w:val="00D67BC5"/>
    <w:rsid w:val="00D7021B"/>
    <w:rsid w:val="00D70D33"/>
    <w:rsid w:val="00D728AE"/>
    <w:rsid w:val="00D73077"/>
    <w:rsid w:val="00D736A2"/>
    <w:rsid w:val="00D73C57"/>
    <w:rsid w:val="00D742FF"/>
    <w:rsid w:val="00D74E86"/>
    <w:rsid w:val="00D758B3"/>
    <w:rsid w:val="00D76ADC"/>
    <w:rsid w:val="00D77413"/>
    <w:rsid w:val="00D7787C"/>
    <w:rsid w:val="00D80449"/>
    <w:rsid w:val="00D80978"/>
    <w:rsid w:val="00D81F10"/>
    <w:rsid w:val="00D8201E"/>
    <w:rsid w:val="00D822EC"/>
    <w:rsid w:val="00D8303C"/>
    <w:rsid w:val="00D836F7"/>
    <w:rsid w:val="00D84A57"/>
    <w:rsid w:val="00D84C3B"/>
    <w:rsid w:val="00D84DA7"/>
    <w:rsid w:val="00D864F8"/>
    <w:rsid w:val="00D874DF"/>
    <w:rsid w:val="00D87A12"/>
    <w:rsid w:val="00D90732"/>
    <w:rsid w:val="00D930E1"/>
    <w:rsid w:val="00D9415C"/>
    <w:rsid w:val="00D942CC"/>
    <w:rsid w:val="00D94ADE"/>
    <w:rsid w:val="00D94D87"/>
    <w:rsid w:val="00D962DC"/>
    <w:rsid w:val="00D97BB5"/>
    <w:rsid w:val="00DA0C12"/>
    <w:rsid w:val="00DA117C"/>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13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B76"/>
    <w:rsid w:val="00DF4359"/>
    <w:rsid w:val="00DF4C1A"/>
    <w:rsid w:val="00DF7751"/>
    <w:rsid w:val="00E031BB"/>
    <w:rsid w:val="00E0424A"/>
    <w:rsid w:val="00E04534"/>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155"/>
    <w:rsid w:val="00E239D1"/>
    <w:rsid w:val="00E26727"/>
    <w:rsid w:val="00E26970"/>
    <w:rsid w:val="00E27791"/>
    <w:rsid w:val="00E30F2D"/>
    <w:rsid w:val="00E319DB"/>
    <w:rsid w:val="00E31AFC"/>
    <w:rsid w:val="00E3304B"/>
    <w:rsid w:val="00E331BF"/>
    <w:rsid w:val="00E3409E"/>
    <w:rsid w:val="00E344B7"/>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57C30"/>
    <w:rsid w:val="00E604C4"/>
    <w:rsid w:val="00E60809"/>
    <w:rsid w:val="00E60ED3"/>
    <w:rsid w:val="00E611AE"/>
    <w:rsid w:val="00E61300"/>
    <w:rsid w:val="00E6135E"/>
    <w:rsid w:val="00E614F2"/>
    <w:rsid w:val="00E635B9"/>
    <w:rsid w:val="00E65D15"/>
    <w:rsid w:val="00E66C49"/>
    <w:rsid w:val="00E67EE5"/>
    <w:rsid w:val="00E7013A"/>
    <w:rsid w:val="00E71099"/>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966"/>
    <w:rsid w:val="00EC2CFF"/>
    <w:rsid w:val="00EC5F2F"/>
    <w:rsid w:val="00EC651E"/>
    <w:rsid w:val="00EC692E"/>
    <w:rsid w:val="00EC745E"/>
    <w:rsid w:val="00EC7EAF"/>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6B"/>
    <w:rsid w:val="00EF44BC"/>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8FD"/>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 w:type="character" w:customStyle="1" w:styleId="normaltextrun1">
    <w:name w:val="normaltextrun1"/>
    <w:basedOn w:val="DefaultParagraphFont"/>
    <w:rsid w:val="00361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TSG_RAN/TSGR_80/Docs/RP-18134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5AIRPNAIUNRU-1830940522-4042</_dlc_DocId>
    <_dlc_DocIdUrl xmlns="71c5aaf6-e6ce-465b-b873-5148d2a4c105">
      <Url>https://nokia.sharepoint.com/sites/c5g/5gradio/_layouts/15/DocIdRedir.aspx?ID=5AIRPNAIUNRU-1830940522-4042</Url>
      <Description>5AIRPNAIUNRU-1830940522-4042</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58F2A21-B66C-4E0C-A8E8-39270D4E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1780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Sigen3Ye</cp:lastModifiedBy>
  <cp:revision>4</cp:revision>
  <cp:lastPrinted>2016-06-20T11:35:00Z</cp:lastPrinted>
  <dcterms:created xsi:type="dcterms:W3CDTF">2018-09-28T11:42:00Z</dcterms:created>
  <dcterms:modified xsi:type="dcterms:W3CDTF">2018-09-28T18:54:00Z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276669e6-fb41-429d-b062-effad1dc0a4b</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